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LOCALEO — Contrat de partenariat commerçant</w:t>
      </w:r>
    </w:p>
    <w:p>
      <w:pPr>
        <w:pStyle w:val="Subtitle"/>
      </w:pPr>
      <w:r>
        <w:t>Version 1.0 — 13 septembre 2026</w:t>
      </w:r>
    </w:p>
    <w:p>
      <w:pPr>
        <w:pStyle w:val="Heading1"/>
      </w:pPr>
      <w:r>
        <w:t>Les parties</w:t>
      </w:r>
    </w:p>
    <w:p>
      <w:r>
        <w:rPr>
          <w:b/>
        </w:rPr>
        <w:t>Localeo</w:t>
      </w:r>
      <w:r>
        <w:t>, société par actions simplifiée au capital de 2 000 euros, immatriculée au RCS de Bordeaux sous le numéro 104 836 846, dont le siège social est situé 10 Lotissement Joualle de Paulin, 33750 Beychac-et-Caillau, France, représentée par son président, Thibaut CASTAING. Contact : contact@localeo.city. Numéro de TVA intracommunautaire : FR78 104836846.</w:t>
      </w:r>
    </w:p>
    <w:p>
      <w:pPr>
        <w:keepNext/>
      </w:pPr>
      <w:r>
        <w:rPr>
          <w:b/>
        </w:rPr>
        <w:t>Le Partenaire</w:t>
      </w:r>
      <w:r>
        <w:t>, professionnel identifié ci-dessous, représenté par une personne habilitée à l'engager :</w:t>
      </w:r>
    </w:p>
    <w:tbl>
      <w:tblPr>
        <w:tblStyle w:val="TableGrid"/>
        <w:tblW w:type="auto" w:w="0"/>
        <w:jc w:val="center"/>
        <w:tblLayout w:type="fixed"/>
        <w:tblLook w:firstColumn="1" w:firstRow="1" w:lastColumn="0" w:lastRow="0" w:noHBand="0" w:noVBand="1" w:val="04A0"/>
      </w:tblPr>
      <w:tblGrid>
        <w:gridCol w:w="4791"/>
        <w:gridCol w:w="4791"/>
      </w:tblGrid>
      <w:tr>
        <w:trPr>
          <w:cantSplit/>
          <w:tblHeader/>
        </w:trPr>
        <w:tc>
          <w:tcPr>
            <w:tcW w:type="dxa" w:w="4791"/>
            <w:vAlign w:val="top"/>
            <w:shd w:fill="F1F3F5"/>
          </w:tcPr>
          <w:p>
            <w:pPr>
              <w:spacing w:after="100" w:before="80"/>
            </w:pPr>
            <w:r>
              <w:rPr>
                <w:b/>
                <w:sz w:val="20"/>
              </w:rPr>
              <w:t>Identification du Partenaire</w:t>
            </w:r>
          </w:p>
        </w:tc>
        <w:tc>
          <w:tcPr>
            <w:tcW w:type="dxa" w:w="4791"/>
            <w:vAlign w:val="top"/>
            <w:shd w:fill="F1F3F5"/>
          </w:tcPr>
          <w:p>
            <w:pPr>
              <w:spacing w:after="100" w:before="80"/>
            </w:pPr>
            <w:r>
              <w:rPr>
                <w:b/>
                <w:sz w:val="20"/>
              </w:rPr>
              <w:t>Informations contractuelles</w:t>
            </w:r>
          </w:p>
        </w:tc>
      </w:tr>
      <w:tr>
        <w:trPr>
          <w:cantSplit/>
        </w:trPr>
        <w:tc>
          <w:tcPr>
            <w:tcW w:type="dxa" w:w="4791"/>
            <w:vAlign w:val="top"/>
          </w:tcPr>
          <w:p>
            <w:pPr>
              <w:spacing w:after="100" w:before="80"/>
            </w:pPr>
            <w:r>
              <w:rPr>
                <w:sz w:val="20"/>
              </w:rPr>
              <w:t>Raison sociale et nom commercial</w:t>
            </w:r>
          </w:p>
        </w:tc>
        <w:tc>
          <w:tcPr>
            <w:tcW w:type="dxa" w:w="4791"/>
            <w:vAlign w:val="top"/>
          </w:tcPr>
          <w:p>
            <w:pPr>
              <w:spacing w:after="100" w:before="80"/>
            </w:pPr>
            <w:r>
              <w:rPr>
                <w:sz w:val="20"/>
              </w:rPr>
              <w:t>................................................................</w:t>
            </w:r>
          </w:p>
        </w:tc>
      </w:tr>
      <w:tr>
        <w:trPr>
          <w:cantSplit/>
        </w:trPr>
        <w:tc>
          <w:tcPr>
            <w:tcW w:type="dxa" w:w="4791"/>
            <w:vAlign w:val="top"/>
          </w:tcPr>
          <w:p>
            <w:pPr>
              <w:spacing w:after="100" w:before="80"/>
            </w:pPr>
            <w:r>
              <w:rPr>
                <w:sz w:val="20"/>
              </w:rPr>
              <w:t>Forme juridique, SIREN et SIRET</w:t>
            </w:r>
          </w:p>
        </w:tc>
        <w:tc>
          <w:tcPr>
            <w:tcW w:type="dxa" w:w="4791"/>
            <w:vAlign w:val="top"/>
          </w:tcPr>
          <w:p>
            <w:pPr>
              <w:spacing w:after="100" w:before="80"/>
            </w:pPr>
            <w:r>
              <w:rPr>
                <w:sz w:val="20"/>
              </w:rPr>
              <w:t>................................................................</w:t>
            </w:r>
          </w:p>
        </w:tc>
      </w:tr>
      <w:tr>
        <w:trPr>
          <w:cantSplit/>
        </w:trPr>
        <w:tc>
          <w:tcPr>
            <w:tcW w:type="dxa" w:w="4791"/>
            <w:vAlign w:val="top"/>
          </w:tcPr>
          <w:p>
            <w:pPr>
              <w:spacing w:after="100" w:before="80"/>
            </w:pPr>
            <w:r>
              <w:rPr>
                <w:sz w:val="20"/>
              </w:rPr>
              <w:t>Registre d'immatriculation</w:t>
            </w:r>
          </w:p>
        </w:tc>
        <w:tc>
          <w:tcPr>
            <w:tcW w:type="dxa" w:w="4791"/>
            <w:vAlign w:val="top"/>
          </w:tcPr>
          <w:p>
            <w:pPr>
              <w:spacing w:after="100" w:before="80"/>
            </w:pPr>
            <w:r>
              <w:rPr>
                <w:sz w:val="20"/>
              </w:rPr>
              <w:t>................................................................</w:t>
            </w:r>
          </w:p>
        </w:tc>
      </w:tr>
      <w:tr>
        <w:trPr>
          <w:cantSplit/>
        </w:trPr>
        <w:tc>
          <w:tcPr>
            <w:tcW w:type="dxa" w:w="4791"/>
            <w:vAlign w:val="top"/>
          </w:tcPr>
          <w:p>
            <w:pPr>
              <w:spacing w:after="100" w:before="80"/>
            </w:pPr>
            <w:r>
              <w:rPr>
                <w:sz w:val="20"/>
              </w:rPr>
              <w:t>Siège social et établissement d'exécution</w:t>
            </w:r>
          </w:p>
        </w:tc>
        <w:tc>
          <w:tcPr>
            <w:tcW w:type="dxa" w:w="4791"/>
            <w:vAlign w:val="top"/>
          </w:tcPr>
          <w:p>
            <w:pPr>
              <w:spacing w:after="100" w:before="80"/>
            </w:pPr>
            <w:r>
              <w:rPr>
                <w:sz w:val="20"/>
              </w:rPr>
              <w:t>................................................................</w:t>
            </w:r>
          </w:p>
        </w:tc>
      </w:tr>
      <w:tr>
        <w:trPr>
          <w:cantSplit/>
        </w:trPr>
        <w:tc>
          <w:tcPr>
            <w:tcW w:type="dxa" w:w="4791"/>
            <w:vAlign w:val="top"/>
          </w:tcPr>
          <w:p>
            <w:pPr>
              <w:spacing w:after="100" w:before="80"/>
            </w:pPr>
            <w:r>
              <w:rPr>
                <w:sz w:val="20"/>
              </w:rPr>
              <w:t>Représentant, qualité et pouvoirs</w:t>
            </w:r>
          </w:p>
        </w:tc>
        <w:tc>
          <w:tcPr>
            <w:tcW w:type="dxa" w:w="4791"/>
            <w:vAlign w:val="top"/>
          </w:tcPr>
          <w:p>
            <w:pPr>
              <w:spacing w:after="100" w:before="80"/>
            </w:pPr>
            <w:r>
              <w:rPr>
                <w:sz w:val="20"/>
              </w:rPr>
              <w:t>................................................................</w:t>
            </w:r>
          </w:p>
        </w:tc>
      </w:tr>
      <w:tr>
        <w:trPr>
          <w:cantSplit/>
        </w:trPr>
        <w:tc>
          <w:tcPr>
            <w:tcW w:type="dxa" w:w="4791"/>
            <w:vAlign w:val="top"/>
          </w:tcPr>
          <w:p>
            <w:pPr>
              <w:spacing w:after="100" w:before="80"/>
            </w:pPr>
            <w:r>
              <w:rPr>
                <w:sz w:val="20"/>
              </w:rPr>
              <w:t>Adresse électronique de notification</w:t>
            </w:r>
          </w:p>
        </w:tc>
        <w:tc>
          <w:tcPr>
            <w:tcW w:type="dxa" w:w="4791"/>
            <w:vAlign w:val="top"/>
          </w:tcPr>
          <w:p>
            <w:pPr>
              <w:spacing w:after="100" w:before="80"/>
            </w:pPr>
            <w:r>
              <w:rPr>
                <w:sz w:val="20"/>
              </w:rPr>
              <w:t>................................................................</w:t>
            </w:r>
          </w:p>
        </w:tc>
      </w:tr>
      <w:tr>
        <w:trPr>
          <w:cantSplit/>
        </w:trPr>
        <w:tc>
          <w:tcPr>
            <w:tcW w:type="dxa" w:w="4791"/>
            <w:vAlign w:val="top"/>
          </w:tcPr>
          <w:p>
            <w:pPr>
              <w:spacing w:after="100" w:before="80"/>
            </w:pPr>
            <w:r>
              <w:rPr>
                <w:sz w:val="20"/>
              </w:rPr>
              <w:t>Numéro de TVA ou régime d'exonération</w:t>
            </w:r>
          </w:p>
        </w:tc>
        <w:tc>
          <w:tcPr>
            <w:tcW w:type="dxa" w:w="4791"/>
            <w:vAlign w:val="top"/>
          </w:tcPr>
          <w:p>
            <w:pPr>
              <w:spacing w:after="100" w:before="80"/>
            </w:pPr>
            <w:r>
              <w:rPr>
                <w:sz w:val="20"/>
              </w:rPr>
              <w:t>................................................................</w:t>
            </w:r>
          </w:p>
        </w:tc>
      </w:tr>
      <w:tr>
        <w:trPr>
          <w:cantSplit/>
        </w:trPr>
        <w:tc>
          <w:tcPr>
            <w:tcW w:type="dxa" w:w="4791"/>
            <w:vAlign w:val="top"/>
          </w:tcPr>
          <w:p>
            <w:r>
              <w:t>Référence du contrat</w:t>
            </w:r>
          </w:p>
        </w:tc>
        <w:tc>
          <w:tcPr>
            <w:tcW w:type="dxa" w:w="4791"/>
            <w:vAlign w:val="top"/>
          </w:tcPr>
          <w:p>
            <w:pPr>
              <w:spacing w:after="100" w:before="80"/>
            </w:pPr>
            <w:r>
              <w:rPr>
                <w:sz w:val="20"/>
              </w:rPr>
              <w:t>................................................................</w:t>
            </w:r>
          </w:p>
        </w:tc>
      </w:tr>
    </w:tbl>
    <w:p>
      <w:pPr>
        <w:spacing w:after="0"/>
      </w:pPr>
    </w:p>
    <w:p>
      <w:r>
        <w:t>Les parties conviennent des conditions suivantes.</w:t>
      </w:r>
    </w:p>
    <w:p>
      <w:pPr>
        <w:pStyle w:val="Heading1"/>
      </w:pPr>
      <w:r>
        <w:t>Article 1 — Objet et rôles respectifs</w:t>
      </w:r>
    </w:p>
    <w:p>
      <w:r>
        <w:t>Le contrat organise le référencement du Partenaire sur Localeo, l'intégration de ses prestations dans les coffrets et la réalisation des prestations au bénéfice des porteurs de coffrets. Le terme « prestation » comprend les services et, lorsqu'une offre le prévoit, les biens remis par le Partenaire.</w:t>
      </w:r>
    </w:p>
    <w:p>
      <w:r>
        <w:t>Localeo commercialise et émet les coffrets en son nom. Elle assure la commande, la remise numérique du bon, les outils de consultation et de validation, le support relatif au coffret et les décisions de remboursement qui lui incombent. Le Partenaire est le fournisseur de la prestation sous-jacente : il en assure l'exécution, la conformité, la sécurité, les autorisations et les obligations fiscales. Chaque partie demeure responsable des obligations que la loi lui impose ; l'organisation retenue ne diminue pas les droits du consommateur à l'encontre d'un professionnel légalement responsable.</w:t>
      </w:r>
    </w:p>
    <w:p>
      <w:r>
        <w:t>Les paiements sont traités par Stripe. Le paiement du coffret est enregistré sur le compte Stripe de la plateforme Localeo ; les montants dus au Partenaire sont ensuite transférés vers son compte connecté, suivant l'article 8. Ce contrat n'attribue à Localeo aucun agrément de prestataire de services de paiement.</w:t>
      </w:r>
    </w:p>
    <w:p>
      <w:pPr>
        <w:pStyle w:val="Heading1"/>
      </w:pPr>
      <w:r>
        <w:t>Article 2 — Documents contractuels et entrée en vigueur</w:t>
      </w:r>
    </w:p>
    <w:p>
      <w:r>
        <w:t>Le contrat comprend les présentes conditions et la fiche intégrée « Prestations du commerçant et commission Localeo », renseignée et acceptée par les parties. Les éventuelles annexes complémentaires sont expressément identifiées, acceptées et jointes aux deux exemplaires. Une fiche non renseignée ne fixe aucun prix ni taux de commission.</w:t>
      </w:r>
    </w:p>
    <w:p>
      <w:r>
        <w:t>La fiche intégrée des prestations prévaut pour les montants, l'identification et les conditions particulières d'une prestation. Les présentes conditions prévalent pour les autres dispositions. Une dérogation particulière n'est opposable que si elle est explicite, acceptée et compatible avec les règles impératives. Une mise à jour d'un document publié sur le site ne modifie pas à elle seule le contrat signé.</w:t>
      </w:r>
    </w:p>
    <w:p>
      <w:r>
        <w:t>Le contrat prend effet à la date de la dernière signature, pour une durée indéterminée. Il n'emporte aucune garantie de chiffre d'affaires, de fréquentation ou de volume de ventes.</w:t>
      </w:r>
    </w:p>
    <w:p>
      <w:pPr>
        <w:pStyle w:val="Heading1"/>
      </w:pPr>
      <w:r>
        <w:t>Article 3 — Admission et informations professionnelles</w:t>
      </w:r>
    </w:p>
    <w:p>
      <w:r>
        <w:t>Le Partenaire atteste de son existence juridique, des pouvoirs de son signataire et des autorisations, qualifications et assurances nécessaires à chaque offre. Il communique ses coordonnées professionnelles, son régime fiscal, les lieux d'exécution, les restrictions de sécurité, d'âge et d'accessibilité, ainsi que les justificatifs nécessaires. Il actualise sans délai toute information qui devient inexacte.</w:t>
      </w:r>
    </w:p>
    <w:p>
      <w:r>
        <w:t>La publication nécessite un dossier complet, des prestations et conditions économiques acceptées, ainsi qu'un compte Stripe connecté permettant les opérations concernées. L'outil Localeo OnBoard facilite la collecte et le suivi ; les engagements résultent des documents acceptés, non d'une simple saisie dans l'outil.</w:t>
      </w:r>
    </w:p>
    <w:p>
      <w:r>
        <w:t>Stripe réalise ses propres vérifications d'identité et d'éligibilité. Le Partenaire lui fournit les informations demandées et maintient un compte bancaire valide. Localeo ne duplique pas les pièces d'identité ou bancaires qui ne sont pas nécessaires à ses propres obligations.</w:t>
      </w:r>
    </w:p>
    <w:p>
      <w:pPr>
        <w:pStyle w:val="Heading1"/>
      </w:pPr>
      <w:r>
        <w:t>Article 4 — Prestations et information des bénéficiaires</w:t>
      </w:r>
    </w:p>
    <w:p>
      <w:r>
        <w:t>Chaque prestation est décrite avant publication : contenu garanti, quantité, bénéficiaires admis, lieu, période et conditions de réservation, horaires, restrictions, éventuels suppléments librement choisis et conditions d'annulation du rendez-vous. Les photographies et exemples ne doivent pas présenter comme acquis un avantage qui ne fait pas partie de l'offre.</w:t>
      </w:r>
    </w:p>
    <w:p>
      <w:r>
        <w:t>Le Partenaire réserve des possibilités effectives d'utilisation pendant la durée de validité annoncée. Il ne peut imposer un achat complémentaire pour délivrer la prestation promise. Une indisponibilité durable doit être signalée immédiatement afin d'arrêter les nouvelles ventes concernées et de traiter les droits existants.</w:t>
      </w:r>
    </w:p>
    <w:p>
      <w:r>
        <w:t>Le Partenaire peut proposer une modification. Elle doit être acceptée et tracée avant publication. Elle ne diminue ni le contenu, ni la durée de validité, ni les droits attachés aux coffrets déjà vendus. Une substitution pour un porteur existant nécessite son accord exprès.</w:t>
      </w:r>
    </w:p>
    <w:p>
      <w:pPr>
        <w:pStyle w:val="Heading1"/>
      </w:pPr>
      <w:r>
        <w:t>Article 5 — Distribution et propriété intellectuelle</w:t>
      </w:r>
    </w:p>
    <w:p>
      <w:r>
        <w:t>Le Partenaire reste libre de commercialiser ses biens et services, y compris auprès d'autres plateformes. Une exclusivité limitée à une offre expressément désignée n'existe que si un accord particulier en définit le contenu, la durée, le territoire et la contrepartie. La seule signature de cette convention ne crée pas d'exclusivité.</w:t>
      </w:r>
    </w:p>
    <w:p>
      <w:r>
        <w:t>Chaque partie conserve ses droits sur ses marques, textes, images et outils. Le Partenaire autorise Localeo, sans exclusivité, à reproduire et adapter techniquement les contenus qu'il fournit pour présenter ses offres, commercialiser les coffrets et assurer leur exécution, sur les services Localeo et leurs communications promotionnelles. Cette autorisation couvre les territoires où ces supports sont consultables, pendant le référencement et, après sa fin, dans la mesure nécessaire au traitement des coffrets déjà vendus et à l'archivage légal.</w:t>
      </w:r>
    </w:p>
    <w:p>
      <w:r>
        <w:t>Toute adaptation substantielle du sens d'une offre requiert l'accord du Partenaire. Celui-ci garantit disposer des droits nécessaires sur ses contenus. L'usage des marques Localeo est limité à la promotion loyale du partenariat pendant sa durée, sans créer d'apparence d'affiliation supplémentaire.</w:t>
      </w:r>
    </w:p>
    <w:p>
      <w:pPr>
        <w:pStyle w:val="Heading1"/>
      </w:pPr>
      <w:r>
        <w:t>Article 6 — Accès professionnel et validation</w:t>
      </w:r>
    </w:p>
    <w:p>
      <w:r>
        <w:t>Le Partenaire réserve les accès professionnels à ses personnes autorisées, protège ses identifiants et signale immédiatement une compromission. Il vérifie l'état du coffret et les droits disponibles avant de réaliser une prestation. Un QR ou un lien d'accès ne doit être ni publié ni réutilisé à d'autres fins.</w:t>
      </w:r>
    </w:p>
    <w:p>
      <w:r>
        <w:t>La validation intervient lors de l'exécution effective de la prestation. Elle ne doit jamais anticiper une prestation future ou constater une opération fictive. Le Partenaire respecte les contrôles de sécurité et la procédure de secours communiquée par Localeo lorsqu'un incident empêche le parcours habituel. Une difficulté technique ne justifie ni une double consommation ni un double paiement.</w:t>
      </w:r>
    </w:p>
    <w:p>
      <w:r>
        <w:t>Une erreur est signalée dès sa découverte, si possible dans les sept jours, avec les éléments utiles. Ce délai facilite la correction sans constituer un délai de déchéance. Les journaux de validation sont des éléments de preuve pouvant être discutés par les parties et par le bénéficiaire ; ils ne sont pas une preuve irréfragable de bonne exécution.</w:t>
      </w:r>
    </w:p>
    <w:p>
      <w:pPr>
        <w:pStyle w:val="Heading1"/>
      </w:pPr>
      <w:r>
        <w:t>Article 7 — Valeur de prestation et commission</w:t>
      </w:r>
    </w:p>
    <w:p>
      <w:r>
        <w:t>La fiche intégrée identifie, pour chaque prestation, sa description, sa contrepartie globale avant déduction de la commission et le taux de commission Localeo. Cette contrepartie correspond au montant brut TTC utilisé pour le calcul ci-dessous ; elle est distincte du prix public de référence d’un bien ou service et du prix total du coffret payé par l’acheteur. Le montant de la commission et le net revenant au Partenaire sont déterminés selon les règles suivantes.</w:t>
      </w:r>
    </w:p>
    <w:p>
      <w:r>
        <w:t xml:space="preserve">Lorsque la commission est exprimée en pourcentage, le net de la prestation est calculé sur sa contrepartie brute TTC selon la formule : </w:t>
      </w:r>
      <w:r>
        <w:rPr>
          <w:b/>
        </w:rPr>
        <w:t>net avant autres frais = contrepartie brute TTC × (100 − taux de commission) / 100</w:t>
      </w:r>
      <w:r>
        <w:t>. Le net est arrondi au centime le plus proche, le demi-centime étant arrondi au centime supérieur. La commission TTC correspond à la différence entre la contrepartie brute TTC et ce net. Ses montants HT et TVA sont distingués sur la facture de commission, selon le régime applicable. Un taux de commission n'est pas un taux de TVA.</w:t>
      </w:r>
    </w:p>
    <w:p>
      <w:r>
        <w:t>Les conditions retenues sont figées pour les droits déjà commercialisés. Une promotion financée par Localeo ne réduit pas la contrepartie due au Partenaire. Une participation du Partenaire à une promotion, ou un autre mode de répartition du prix, nécessite un accord préalable qui identifie les offres, montants et périodes concernés.</w:t>
      </w:r>
    </w:p>
    <w:p>
      <w:r>
        <w:t>Les frais Stripe sont supportés par Localeo, sauf frais précisément décrits et acceptés dans le récapitulatif individualisé. Aucun abonnement, réserve contractuelle ou frais supplémentaire n'est dû du seul fait de cette convention. Le prix du coffret ne peut être réparti a posteriori selon une formule différente des conditions acceptées.</w:t>
      </w:r>
    </w:p>
    <w:p>
      <w:pPr>
        <w:pStyle w:val="Heading1"/>
      </w:pPr>
      <w:r>
        <w:t>Article 8 — Paiement du Partenaire</w:t>
      </w:r>
    </w:p>
    <w:p>
      <w:r>
        <w:t>La réalisation et la validation de la prestation créent le montant à régler selon les conditions individualisées. Localeo prépare les transferts lors de campagnes organisées deux fois par mois. Un enregistrement de validation ne constitue ni un transfert immédiat ni la confirmation d'un virement bancaire.</w:t>
      </w:r>
    </w:p>
    <w:p>
      <w:r>
        <w:t>Localeo donne à Stripe l'instruction de transférer le montant net convenu depuis le solde Stripe de la plateforme vers le compte connecté du Partenaire. Stripe traite ensuite le versement bancaire depuis ce compte connecté suivant ses conditions et la configuration de ce compte. Le calendrier de ce versement bancaire relève de Stripe et n'est pas celui des campagnes Localeo.</w:t>
      </w:r>
    </w:p>
    <w:p>
      <w:r>
        <w:t>Sous réserve d'un délai particulier licitement convenu, le règlement respecte le délai de trente jours après l'exécution de la prestation prévu entre professionnels. Les contrôles, réserves ou indisponibilités techniques de Stripe ne dispensent pas Localeo de ses obligations de paiement ni de traitement des incidents. Une somme ne peut être indéfiniment retenue au seul motif qu'une projection informatique est incomplète.</w:t>
      </w:r>
    </w:p>
    <w:p>
      <w:r>
        <w:t>En cas de blocage, Localeo informe le Partenaire du motif connu, des opérations concernées et des actions nécessaires. Le Partenaire coopère aux vérifications qui dépendent de lui. Les sommes non contestées et non concernées par une interdiction légale continuent d'être traitées. Aucun contournement d'une mesure réglementaire de Stripe n'est autorisé.</w:t>
      </w:r>
    </w:p>
    <w:p>
      <w:r>
        <w:t>En cas de retard de paiement imputable au débiteur, les pénalités légales entre professionnels s'appliquent sans rappel : taux de refinancement de la Banque centrale européenne majoré de dix points, ainsi que l'indemnité forfaitaire de recouvrement de 40 euros, sous réserve des conditions et exceptions légales. Des frais de recouvrement supérieurs peuvent être indemnisés sur justification. Les relevés distinguent le transfert vers le compte connecté et le versement sur le compte bancaire.</w:t>
      </w:r>
    </w:p>
    <w:p>
      <w:pPr>
        <w:pStyle w:val="Heading1"/>
      </w:pPr>
      <w:r>
        <w:t>Article 9 — Annulation, remboursement et contestation de paiement</w:t>
      </w:r>
    </w:p>
    <w:p>
      <w:r>
        <w:t>Localeo traite les demandes relatives à l'achat du coffret et procède aux remboursements dont elle est débitrice, y compris après un transfert au Partenaire. L'état d'une opération Stripe ne réduit pas les droits du consommateur. Le Partenaire fournit les éléments permettant de vérifier l'exécution, les réservations et les réclamations.</w:t>
      </w:r>
    </w:p>
    <w:p>
      <w:r>
        <w:t>Si une prestation ne peut être fournie, Localeo et le Partenaire recherchent une solution acceptée par le bénéficiaire. Une substitution ne peut lui être imposée. Lorsque le remboursement porte sur une prestation non exécutée, aucun paiement de cette prestation ni aucune commission liée à sa consommation ne sont dus. Une commission déjà facturée est corrigée par un avoir lorsqu'elle cesse d'être due.</w:t>
      </w:r>
    </w:p>
    <w:p>
      <w:r>
        <w:t>Si un paiement au Partenaire doit être repris en raison d'un remboursement qui lui est imputable, d'une validation erronée ou frauduleuse ou d'un transfert indu, Localeo communique le fondement, le calcul et les justificatifs. Elle peut demander une annulation de transfert à Stripe ou une restitution dans la limite de la somme effectivement indue. Une compensation est pratiquée dans les conditions légales ou selon un accord exprès ; elle ne peut masquer la retenue d'une dette contestée sans fondement.</w:t>
      </w:r>
    </w:p>
    <w:p>
      <w:r>
        <w:t>Une contestation bancaire ne prouve pas à elle seule une faute du Partenaire. Les pertes résultant d'une fraude au paiement qui ne lui est pas imputable et les frais Stripe correspondants ne lui sont pas automatiquement transférés. Toute répartition différente doit être clairement acceptée. Aucune double récupération d'une même somme n'est admise.</w:t>
      </w:r>
    </w:p>
    <w:p>
      <w:pPr>
        <w:pStyle w:val="Heading1"/>
      </w:pPr>
      <w:r>
        <w:t>Article 10 — Régime fiscal, factures et justificatifs</w:t>
      </w:r>
    </w:p>
    <w:p>
      <w:r>
        <w:t>Les coffrets Localeo relevant du présent contrat sont des bons à usages multiples (BUM). Cette qualification fiscale s’applique aux coffrets SOLO comme aux coffrets MULTI.</w:t>
      </w:r>
    </w:p>
    <w:p>
      <w:r>
        <w:t>L’émission et la vente du coffret avant son utilisation ne donnent pas lieu à facturation de TVA sur la valeur du bon. Localeo remet à l’acheteur un justificatif d’acquisition sans TVA facturée sur cette valeur. Ce justificatif est distinct de la facture de la prestation réalisée et ne permet pas, à lui seul, de déduire une TVA sur l’achat du bon.</w:t>
      </w:r>
    </w:p>
    <w:p>
      <w:r>
        <w:t>Lors de l’utilisation du coffret, le Partenaire applique à la prestation effectivement réalisée son régime de TVA, son assiette et son taux, ou son régime d’exonération ou de franchise en base. Il fournit les données fiscales nécessaires et reste responsable de ses déclarations. La commission retenue par Localeo et les frais de paiement ne diminuent pas, à eux seuls, la base de TVA de la prestation sous-jacente ; le montant net reversé ne constitue donc pas, à lui seul, cette base.</w:t>
      </w:r>
    </w:p>
    <w:p>
      <w:r>
        <w:t>Le Partenaire émet les factures de ses propres prestations au destinataire déterminé selon l’opération et les règles applicables. Localeo facture séparément ses propres commissions et services, avec la TVA applicable à ceux-ci. La présente convention ne constitue ni un mandat de facturation au nom du Partenaire ni une autorisation générale d’autofacturation.</w:t>
      </w:r>
    </w:p>
    <w:p>
      <w:r>
        <w:t>Lorsqu'il utilise un outil de préparation de facture, le Partenaire contrôle les données, choisit la numérotation et émet lui-même son document. Il assume ses corrections et avoirs, sa conservation et ses obligations de facturation électronique. Le dépôt d'une copie dans Localeo ne remplace pas son archive comptable. Les parties échangent les références nécessaires au rapprochement des ventes, prestations, commissions, remboursements, transferts et factures.</w:t>
      </w:r>
    </w:p>
    <w:p>
      <w:pPr>
        <w:pStyle w:val="Heading1"/>
      </w:pPr>
      <w:r>
        <w:t>Article 11 — Données personnelles et accès aux données</w:t>
      </w:r>
    </w:p>
    <w:p>
      <w:r>
        <w:t>Localeo est responsable des traitements nécessaires au fonctionnement de sa plateforme, aux commandes, à la sécurité, au support et à son suivi financier. Le Partenaire est responsable des traitements qu'il détermine pour réaliser ses prestations, gérer ses réservations, facturer et respecter ses obligations professionnelles. Ces rôles ne créent pas par principe une sous-traitance entre les parties.</w:t>
      </w:r>
    </w:p>
    <w:p>
      <w:r>
        <w:t>Les données partagées sont limitées à celles nécessaires à la prestation et à la justification des opérations. Le Partenaire ne reçoit pas la base générale des clients ni leurs coordonnées bancaires complètes. Il ne réutilise pas les coordonnées reçues pour une prospection sans base légale appropriée. Chaque partie informe les personnes pour ses propres traitements, protège ses accès et coopère aux demandes de droits et aux incidents affectant les données échangées.</w:t>
      </w:r>
    </w:p>
    <w:p>
      <w:r>
        <w:t>Le Partenaire peut consulter ses offres, validations et informations financières mises à disposition dans son espace. Il peut demander à contact@localeo.city un export de ses données contractuelles et opérationnelles, dans un format courant, sous réserve des droits des tiers et des obligations de conservation. Après la fin du contrat, les informations nécessaires à la liquidation des opérations et à ses droits restent accessibles sur demande ; les données des autres partenaires et les secrets de sécurité ne sont pas communiqués.</w:t>
      </w:r>
    </w:p>
    <w:p>
      <w:pPr>
        <w:pStyle w:val="Heading1"/>
      </w:pPr>
      <w:r>
        <w:t>Article 12 — Présentation des offres et référencement</w:t>
      </w:r>
    </w:p>
    <w:p>
      <w:r>
        <w:t>Le référencement repose sur le dossier professionnel, la pertinence locale de l'activité, la description des offres, leur disponibilité et le respect du contrat. Les recherches affichent des résultats correspondant aux filtres choisis par l'utilisateur, notamment le territoire, la catégorie et le coffret concerné. Dans le catalogue des commerçants, les résultats ainsi retenus sont présentés par ordre alphabétique du nom ; un identifiant interne stabilise l'ordre en cas de noms identiques. Ces critères privilégient la correspondance au besoin géographique et thématique exprimé, puis une présentation stable des résultats.</w:t>
      </w:r>
    </w:p>
    <w:p>
      <w:r>
        <w:t>Le site peut présenter des sélections éditoriales locales autour d'un territoire, d'un type d'activité ou d'un coffret ; leur composition vise la présentation des offres et leur inclusion ne garantit aucun rang permanent. Le taux de commission prévu au contrat ne modifie pas l'ordre alphabétique du catalogue des commerçants. Aucune somme ne peut être exigée pour un placement prioritaire sans accord commercial exprès et identification de son caractère promotionnel. Les conditions économiques de cette convention ne confèrent aucun droit à une préférence de classement.</w:t>
      </w:r>
    </w:p>
    <w:p>
      <w:pPr>
        <w:pStyle w:val="Heading1"/>
      </w:pPr>
      <w:r>
        <w:t>Article 13 — Suspension et retrait d'une offre</w:t>
      </w:r>
    </w:p>
    <w:p>
      <w:r>
        <w:t>Localeo peut limiter ou suspendre une offre en cas d'information essentielle manquante ou inexacte, d'autorisation ou d'assurance expirée, d'indisponibilité, de non-respect des prestations, de fraude, de contenu illicite, d'atteinte aux données ou de menace pour la sécurité. La mesure est proportionnée et limitée aux activités concernées lorsque cela est possible.</w:t>
      </w:r>
    </w:p>
    <w:p>
      <w:r>
        <w:t>Les motifs précis, leur fondement contractuel et les voies de contestation sont communiqués sur un support durable avant la mesure ou au moment de celle-ci, sous réserve d'une interdiction légale de divulgation. Le Partenaire peut présenter ses observations et justificatifs à contact@localeo.city. Une décision injustifiée est levée et les accès et offres concernés sont rétablis sans retard indu.</w:t>
      </w:r>
    </w:p>
    <w:p>
      <w:pPr>
        <w:pStyle w:val="Heading1"/>
      </w:pPr>
      <w:r>
        <w:t>Article 14 — Évolution du contrat</w:t>
      </w:r>
    </w:p>
    <w:p>
      <w:r>
        <w:t>Localeo notifie toute modification sur un support durable avec un préavis d'au moins trente jours, prolongé si des adaptations techniques ou commerciales importantes le nécessitent. La notification décrit les changements et leur date d'effet. Les conditions économiques déjà figées ne sont pas modifiées rétroactivement.</w:t>
      </w:r>
    </w:p>
    <w:p>
      <w:r>
        <w:t>Le Partenaire peut refuser une modification et résilier sans frais avant sa prise d'effet, sous réserve des opérations déjà engagées. Aucun préavis n'est requis dans la seule mesure où une obligation légale impose une modification immédiate ou lorsqu'une mesure est nécessaire pour faire face à un danger imprévu et imminent lié à la fraude ou à la cybersécurité. Le motif est communiqué dans les limites autorisées par la loi.</w:t>
      </w:r>
    </w:p>
    <w:p>
      <w:pPr>
        <w:pStyle w:val="Heading1"/>
      </w:pPr>
      <w:r>
        <w:t>Article 15 — Résiliation et continuité des droits</w:t>
      </w:r>
    </w:p>
    <w:p>
      <w:r>
        <w:t>Chaque partie peut mettre fin au contrat par notification sur un support durable, avec un préavis d'au moins trente jours. Ce délai est prolongé lorsque les règles relatives à la rupture d'une relation commerciale établie l'imposent. La résiliation de la totalité du service décidée par Localeo est motivée.</w:t>
      </w:r>
    </w:p>
    <w:p>
      <w:r>
        <w:t>Une résiliation immédiate n'est possible que dans les cas permis par la loi, notamment lorsqu'une obligation légale l'exige, en cas de manquements répétés démontrés ou d'une gravité rendant impossible la poursuite du contrat. Hors ces situations, un manquement remédiable donne lieu à une mise en demeure laissant un délai adapté pour y remédier.</w:t>
      </w:r>
    </w:p>
    <w:p>
      <w:r>
        <w:t>La fin du référencement arrête les nouvelles ventes concernées. Elle ne supprime aucun droit issu d'un coffret déjà vendu : le Partenaire honore ces droits jusqu'à leur expiration contractuelle. S'il ne peut plus les exécuter, les parties organisent une substitution acceptée ou un remboursement, sans transférer cette difficulté au bénéficiaire.</w:t>
      </w:r>
    </w:p>
    <w:p>
      <w:r>
        <w:t>Le Partenaire signale immédiatement une cessation d'activité, une fermeture durable ou une procédure collective. Les droits et obligations résultant de celle-ci sont respectés. Les obligations de paiement, remboursement, coopération, facturation, confidentialité et conservation subsistent pour les opérations antérieures. Aucune limite de six mois de ventes ou de quatre-vingt-dix jours après la rupture ne réduit les droits des porteurs.</w:t>
      </w:r>
    </w:p>
    <w:p>
      <w:pPr>
        <w:pStyle w:val="Heading1"/>
      </w:pPr>
      <w:r>
        <w:t>Article 16 — Responsabilité, assurance et force majeure</w:t>
      </w:r>
    </w:p>
    <w:p>
      <w:r>
        <w:t>Chaque partie répond des dommages directs résultant des manquements qui lui sont imputables, selon le droit applicable. Aucune clause ne supprime une obligation essentielle ni la responsabilité pour dol, faute lourde, atteinte corporelle ou obligation légale impérative. Le Partenaire maintient les assurances requises pour son activité et communique une attestation pertinente sur demande.</w:t>
      </w:r>
    </w:p>
    <w:p>
      <w:r>
        <w:t>La force majeure est appréciée selon l'article 1218 du Code civil. La partie empêchée informe l'autre sans délai, justifie l'empêchement et en limite les conséquences. Une panne, un défaut de trésorerie ou une difficulté d'un sous-traitant ne constitue pas automatiquement un cas de force majeure. Les conséquences sur les prestations et les restitutions suivent la loi.</w:t>
      </w:r>
    </w:p>
    <w:p>
      <w:pPr>
        <w:pStyle w:val="Heading1"/>
      </w:pPr>
      <w:r>
        <w:t>Article 17 — Confidentialité</w:t>
      </w:r>
    </w:p>
    <w:p>
      <w:r>
        <w:t>Les informations non publiques reçues pour le contrat sont utilisées uniquement pour son exécution. Cette obligation ne couvre pas les informations devenues publiques sans faute, obtenues licitement d'un tiers ou dont la communication est requise par la loi. Elle subsiste trois ans après la fin du contrat et, pour les secrets d'affaires et données personnelles, pendant la durée de leur protection légale.</w:t>
      </w:r>
    </w:p>
    <w:p>
      <w:pPr>
        <w:pStyle w:val="Heading1"/>
      </w:pPr>
      <w:r>
        <w:t>Article 18 — Réclamations, preuve et droit applicable</w:t>
      </w:r>
    </w:p>
    <w:p>
      <w:r>
        <w:t>Les demandes contractuelles et contestations peuvent être adressées gratuitement à contact@localeo.city en identifiant le Partenaire et les opérations concernées. Localeo accuse réception et examine les éléments communiqués. Ce recours amiable ne limite pas les demandes urgentes ni le droit de saisir un tribunal.</w:t>
      </w:r>
    </w:p>
    <w:p>
      <w:r>
        <w:t>Les versions acceptées, signatures, courriels, factures et traces d'opérations sont conservés dans des conditions permettant leur restitution. Chaque partie peut apporter une preuve contraire. Le droit français régit le contrat, sous réserve des dispositions impératives applicables. Les litiges relèvent des juridictions désignées par les règles ordinaires de compétence ; aucune attribution générale au tribunal de commerce n'est imposée à un professionnel qui n'a pas la qualité de commerçant.</w:t>
      </w:r>
    </w:p>
    <w:p>
      <w:pPr>
        <w:pStyle w:val="FicheTitle"/>
        <w:pageBreakBefore/>
      </w:pPr>
      <w:r>
        <w:t>Prestations du commerçant et commission Localeo</w:t>
      </w:r>
    </w:p>
    <w:p>
      <w:pPr>
        <w:pStyle w:val="FicheSubtitle"/>
      </w:pPr>
      <w:r>
        <w:t>Fiche intégrée au contrat de partenariat commerçant V1</w:t>
      </w:r>
    </w:p>
    <w:p>
      <w:pPr>
        <w:pStyle w:val="FicheNormal"/>
      </w:pPr>
      <w:r>
        <w:t>Cette fiche complète les conditions du contrat qui précèdent. Elle décrit les prestations convenues avec le commerçant et la commission Localeo applicable à chacune.</w:t>
      </w:r>
    </w:p>
    <w:p>
      <w:pPr>
        <w:pStyle w:val="FicheNormal"/>
      </w:pPr>
      <w:r>
        <w:t>Commerçant / établissement : ........................................................................................................</w:t>
      </w:r>
    </w:p>
    <w:p>
      <w:pPr>
        <w:pStyle w:val="FicheNormal"/>
      </w:pPr>
      <w:r>
        <w:t>Référence du contrat : ....................................    Date d’effet de cette fiche : ....................................</w:t>
      </w:r>
    </w:p>
    <w:p>
      <w:pPr>
        <w:pStyle w:val="FicheHeading1"/>
      </w:pPr>
      <w:r>
        <w:t>Prestations convenues</w:t>
      </w:r>
    </w:p>
    <w:p>
      <w:pPr>
        <w:pStyle w:val="FicheNormal"/>
      </w:pPr>
      <w:r>
        <w:t>Décrire la prestation promise, le choix proposé au bénéficiaire et ses conditions d’utilisation. Le détail des produits effectivement choisis et leur traitement fiscal seront déterminés lors de l’utilisation.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91"/>
        <w:gridCol w:w="8391"/>
      </w:tblGrid>
      <w:tr>
        <w:trPr>
          <w:cantSplit/>
          <w:tblHeader/>
        </w:trPr>
        <w:tc>
          <w:tcPr>
            <w:tcW w:type="dxa" w:w="1191"/>
            <w:vAlign w:val="center"/>
            <w:tcMar>
              <w:top w:w="80" w:type="dxa"/>
              <w:bottom w:w="80" w:type="dxa"/>
              <w:left w:w="100" w:type="dxa"/>
              <w:right w:w="100" w:type="dxa"/>
            </w:tcMar>
            <w:shd w:fill="F1F3F5"/>
          </w:tcPr>
          <w:p>
            <w:pPr>
              <w:pStyle w:val="FicheNormal"/>
              <w:spacing w:after="40" w:before="40"/>
            </w:pPr>
            <w:r>
              <w:rPr>
                <w:b/>
                <w:sz w:val="19"/>
              </w:rPr>
              <w:t>Référence</w:t>
            </w:r>
          </w:p>
        </w:tc>
        <w:tc>
          <w:tcPr>
            <w:tcW w:type="dxa" w:w="8391"/>
            <w:vAlign w:val="center"/>
            <w:tcMar>
              <w:top w:w="80" w:type="dxa"/>
              <w:bottom w:w="80" w:type="dxa"/>
              <w:left w:w="100" w:type="dxa"/>
              <w:right w:w="100" w:type="dxa"/>
            </w:tcMar>
            <w:shd w:fill="F1F3F5"/>
          </w:tcPr>
          <w:p>
            <w:pPr>
              <w:pStyle w:val="FicheNormal"/>
              <w:spacing w:after="40" w:before="40"/>
            </w:pPr>
            <w:r>
              <w:rPr>
                <w:b/>
                <w:sz w:val="19"/>
              </w:rPr>
              <w:t>Description de la prestation</w:t>
            </w:r>
          </w:p>
        </w:tc>
      </w:tr>
      <w:tr>
        <w:trPr>
          <w:cantSplit/>
          <w:trHeight w:val="1049"/>
        </w:trPr>
        <w:tc>
          <w:tcPr>
            <w:tcW w:type="dxa" w:w="1191"/>
            <w:vAlign w:val="center"/>
            <w:tcMar>
              <w:top w:w="80" w:type="dxa"/>
              <w:bottom w:w="80" w:type="dxa"/>
              <w:left w:w="100" w:type="dxa"/>
              <w:right w:w="100" w:type="dxa"/>
            </w:tcMar>
          </w:tcPr>
          <w:p>
            <w:pPr>
              <w:pStyle w:val="FicheNormal"/>
              <w:spacing w:after="40" w:before="40"/>
            </w:pPr>
            <w:r>
              <w:rPr>
                <w:b w:val="0"/>
                <w:sz w:val="19"/>
              </w:rPr>
              <w:t>P1</w:t>
            </w:r>
          </w:p>
        </w:tc>
        <w:tc>
          <w:tcPr>
            <w:tcW w:type="dxa" w:w="8391"/>
            <w:vAlign w:val="center"/>
            <w:tcMar>
              <w:top w:w="80" w:type="dxa"/>
              <w:bottom w:w="80" w:type="dxa"/>
              <w:left w:w="100" w:type="dxa"/>
              <w:right w:w="100" w:type="dxa"/>
            </w:tcMar>
          </w:tcPr>
          <w:p>
            <w:pPr>
              <w:pStyle w:val="FicheNormal"/>
              <w:spacing w:after="40" w:before="40"/>
            </w:pPr>
            <w:r>
              <w:rPr>
                <w:b w:val="0"/>
                <w:sz w:val="19"/>
              </w:rPr>
              <w:t>Intitulé : .............................................................................................................</w:t>
              <w:br/>
              <w:t>Contenu ou choix proposé : ..............................................................................</w:t>
              <w:br/>
              <w:t>Quantité, bénéficiaires et conditions : ...............................................................</w:t>
            </w:r>
          </w:p>
        </w:tc>
      </w:tr>
      <w:tr>
        <w:trPr>
          <w:cantSplit/>
          <w:trHeight w:val="1049"/>
        </w:trPr>
        <w:tc>
          <w:tcPr>
            <w:tcW w:type="dxa" w:w="1191"/>
            <w:vAlign w:val="center"/>
            <w:tcMar>
              <w:top w:w="80" w:type="dxa"/>
              <w:bottom w:w="80" w:type="dxa"/>
              <w:left w:w="100" w:type="dxa"/>
              <w:right w:w="100" w:type="dxa"/>
            </w:tcMar>
          </w:tcPr>
          <w:p>
            <w:pPr>
              <w:pStyle w:val="FicheNormal"/>
              <w:spacing w:after="40" w:before="40"/>
            </w:pPr>
            <w:r>
              <w:rPr>
                <w:b w:val="0"/>
                <w:sz w:val="19"/>
              </w:rPr>
              <w:t>P2</w:t>
            </w:r>
          </w:p>
        </w:tc>
        <w:tc>
          <w:tcPr>
            <w:tcW w:type="dxa" w:w="8391"/>
            <w:vAlign w:val="center"/>
            <w:tcMar>
              <w:top w:w="80" w:type="dxa"/>
              <w:bottom w:w="80" w:type="dxa"/>
              <w:left w:w="100" w:type="dxa"/>
              <w:right w:w="100" w:type="dxa"/>
            </w:tcMar>
          </w:tcPr>
          <w:p>
            <w:pPr>
              <w:pStyle w:val="FicheNormal"/>
              <w:spacing w:after="40" w:before="40"/>
            </w:pPr>
            <w:r>
              <w:rPr>
                <w:b w:val="0"/>
                <w:sz w:val="19"/>
              </w:rPr>
              <w:t>Intitulé : .............................................................................................................</w:t>
              <w:br/>
              <w:t>Contenu ou choix proposé : ..............................................................................</w:t>
              <w:br/>
              <w:t>Quantité, bénéficiaires et conditions : ...............................................................</w:t>
            </w:r>
          </w:p>
        </w:tc>
      </w:tr>
      <w:tr>
        <w:trPr>
          <w:cantSplit/>
          <w:trHeight w:val="1049"/>
        </w:trPr>
        <w:tc>
          <w:tcPr>
            <w:tcW w:type="dxa" w:w="1191"/>
            <w:vAlign w:val="center"/>
            <w:tcMar>
              <w:top w:w="80" w:type="dxa"/>
              <w:bottom w:w="80" w:type="dxa"/>
              <w:left w:w="100" w:type="dxa"/>
              <w:right w:w="100" w:type="dxa"/>
            </w:tcMar>
          </w:tcPr>
          <w:p>
            <w:pPr>
              <w:pStyle w:val="FicheNormal"/>
              <w:spacing w:after="40" w:before="40"/>
            </w:pPr>
            <w:r>
              <w:rPr>
                <w:b w:val="0"/>
                <w:sz w:val="19"/>
              </w:rPr>
              <w:t>P3</w:t>
            </w:r>
          </w:p>
        </w:tc>
        <w:tc>
          <w:tcPr>
            <w:tcW w:type="dxa" w:w="8391"/>
            <w:vAlign w:val="center"/>
            <w:tcMar>
              <w:top w:w="80" w:type="dxa"/>
              <w:bottom w:w="80" w:type="dxa"/>
              <w:left w:w="100" w:type="dxa"/>
              <w:right w:w="100" w:type="dxa"/>
            </w:tcMar>
          </w:tcPr>
          <w:p>
            <w:pPr>
              <w:pStyle w:val="FicheNormal"/>
              <w:spacing w:after="40" w:before="40"/>
            </w:pPr>
            <w:r>
              <w:rPr>
                <w:b w:val="0"/>
                <w:sz w:val="19"/>
              </w:rPr>
              <w:t>Intitulé : .............................................................................................................</w:t>
              <w:br/>
              <w:t>Contenu ou choix proposé : ..............................................................................</w:t>
              <w:br/>
              <w:t>Quantité, bénéficiaires et conditions : ...............................................................</w:t>
            </w:r>
          </w:p>
        </w:tc>
      </w:tr>
    </w:tbl>
    <w:p>
      <w:pPr>
        <w:pStyle w:val="FicheHeading1"/>
      </w:pPr>
      <w:r>
        <w:t>Commission Localeo par prestation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91"/>
        <w:gridCol w:w="4195"/>
        <w:gridCol w:w="4195"/>
      </w:tblGrid>
      <w:tr>
        <w:trPr>
          <w:cantSplit/>
          <w:tblHeader/>
        </w:trPr>
        <w:tc>
          <w:tcPr>
            <w:tcW w:type="dxa" w:w="1191"/>
            <w:vAlign w:val="center"/>
            <w:tcMar>
              <w:top w:w="80" w:type="dxa"/>
              <w:bottom w:w="80" w:type="dxa"/>
              <w:left w:w="100" w:type="dxa"/>
              <w:right w:w="100" w:type="dxa"/>
            </w:tcMar>
            <w:shd w:fill="F1F3F5"/>
          </w:tcPr>
          <w:p>
            <w:pPr>
              <w:pStyle w:val="FicheNormal"/>
              <w:spacing w:after="40" w:before="40"/>
            </w:pPr>
            <w:r>
              <w:rPr>
                <w:b/>
                <w:sz w:val="19"/>
              </w:rPr>
              <w:t>Prestation</w:t>
            </w:r>
          </w:p>
        </w:tc>
        <w:tc>
          <w:tcPr>
            <w:tcW w:type="dxa" w:w="4195"/>
            <w:vAlign w:val="center"/>
            <w:tcMar>
              <w:top w:w="80" w:type="dxa"/>
              <w:bottom w:w="80" w:type="dxa"/>
              <w:left w:w="100" w:type="dxa"/>
              <w:right w:w="100" w:type="dxa"/>
            </w:tcMar>
            <w:shd w:fill="F1F3F5"/>
          </w:tcPr>
          <w:p>
            <w:pPr>
              <w:pStyle w:val="FicheNormal"/>
              <w:spacing w:after="40" w:before="40"/>
            </w:pPr>
            <w:r>
              <w:rPr>
                <w:b/>
                <w:sz w:val="19"/>
              </w:rPr>
              <w:t>Valeur convenue par utilisation (€)</w:t>
            </w:r>
          </w:p>
        </w:tc>
        <w:tc>
          <w:tcPr>
            <w:tcW w:type="dxa" w:w="4195"/>
            <w:vAlign w:val="center"/>
            <w:tcMar>
              <w:top w:w="80" w:type="dxa"/>
              <w:bottom w:w="80" w:type="dxa"/>
              <w:left w:w="100" w:type="dxa"/>
              <w:right w:w="100" w:type="dxa"/>
            </w:tcMar>
            <w:shd w:fill="F1F3F5"/>
          </w:tcPr>
          <w:p>
            <w:pPr>
              <w:pStyle w:val="FicheNormal"/>
              <w:spacing w:after="40" w:before="40"/>
            </w:pPr>
            <w:r>
              <w:rPr>
                <w:b/>
                <w:sz w:val="19"/>
              </w:rPr>
              <w:t>Taux de commission Localeo (%)</w:t>
            </w:r>
          </w:p>
        </w:tc>
      </w:tr>
      <w:tr>
        <w:trPr>
          <w:cantSplit/>
        </w:trPr>
        <w:tc>
          <w:tcPr>
            <w:tcW w:type="dxa" w:w="1191"/>
            <w:vAlign w:val="center"/>
            <w:tcMar>
              <w:top w:w="80" w:type="dxa"/>
              <w:bottom w:w="80" w:type="dxa"/>
              <w:left w:w="100" w:type="dxa"/>
              <w:right w:w="100" w:type="dxa"/>
            </w:tcMar>
          </w:tcPr>
          <w:p>
            <w:pPr>
              <w:pStyle w:val="FicheNormal"/>
              <w:spacing w:after="40" w:before="40"/>
            </w:pPr>
            <w:r>
              <w:rPr>
                <w:b w:val="0"/>
                <w:sz w:val="19"/>
              </w:rPr>
              <w:t>P1</w:t>
            </w:r>
          </w:p>
        </w:tc>
        <w:tc>
          <w:tcPr>
            <w:tcW w:type="dxa" w:w="4195"/>
            <w:vAlign w:val="center"/>
            <w:tcMar>
              <w:top w:w="80" w:type="dxa"/>
              <w:bottom w:w="80" w:type="dxa"/>
              <w:left w:w="100" w:type="dxa"/>
              <w:right w:w="100" w:type="dxa"/>
            </w:tcMar>
          </w:tcPr>
          <w:p>
            <w:pPr>
              <w:pStyle w:val="FicheNormal"/>
              <w:spacing w:after="40" w:before="40"/>
            </w:pPr>
            <w:r>
              <w:rPr>
                <w:b w:val="0"/>
                <w:sz w:val="19"/>
              </w:rPr>
              <w:t>........................................</w:t>
            </w:r>
          </w:p>
        </w:tc>
        <w:tc>
          <w:tcPr>
            <w:tcW w:type="dxa" w:w="4195"/>
            <w:vAlign w:val="center"/>
            <w:tcMar>
              <w:top w:w="80" w:type="dxa"/>
              <w:bottom w:w="80" w:type="dxa"/>
              <w:left w:w="100" w:type="dxa"/>
              <w:right w:w="100" w:type="dxa"/>
            </w:tcMar>
          </w:tcPr>
          <w:p>
            <w:pPr>
              <w:pStyle w:val="FicheNormal"/>
              <w:spacing w:after="40" w:before="40"/>
            </w:pPr>
            <w:r>
              <w:rPr>
                <w:b w:val="0"/>
                <w:sz w:val="19"/>
              </w:rPr>
              <w:t>........................................</w:t>
            </w:r>
          </w:p>
        </w:tc>
      </w:tr>
      <w:tr>
        <w:trPr>
          <w:cantSplit/>
        </w:trPr>
        <w:tc>
          <w:tcPr>
            <w:tcW w:type="dxa" w:w="1191"/>
            <w:vAlign w:val="center"/>
            <w:tcMar>
              <w:top w:w="80" w:type="dxa"/>
              <w:bottom w:w="80" w:type="dxa"/>
              <w:left w:w="100" w:type="dxa"/>
              <w:right w:w="100" w:type="dxa"/>
            </w:tcMar>
          </w:tcPr>
          <w:p>
            <w:pPr>
              <w:pStyle w:val="FicheNormal"/>
              <w:spacing w:after="40" w:before="40"/>
            </w:pPr>
            <w:r>
              <w:rPr>
                <w:b w:val="0"/>
                <w:sz w:val="19"/>
              </w:rPr>
              <w:t>P2</w:t>
            </w:r>
          </w:p>
        </w:tc>
        <w:tc>
          <w:tcPr>
            <w:tcW w:type="dxa" w:w="4195"/>
            <w:vAlign w:val="center"/>
            <w:tcMar>
              <w:top w:w="80" w:type="dxa"/>
              <w:bottom w:w="80" w:type="dxa"/>
              <w:left w:w="100" w:type="dxa"/>
              <w:right w:w="100" w:type="dxa"/>
            </w:tcMar>
          </w:tcPr>
          <w:p>
            <w:pPr>
              <w:pStyle w:val="FicheNormal"/>
              <w:spacing w:after="40" w:before="40"/>
            </w:pPr>
            <w:r>
              <w:rPr>
                <w:b w:val="0"/>
                <w:sz w:val="19"/>
              </w:rPr>
              <w:t>........................................</w:t>
            </w:r>
          </w:p>
        </w:tc>
        <w:tc>
          <w:tcPr>
            <w:tcW w:type="dxa" w:w="4195"/>
            <w:vAlign w:val="center"/>
            <w:tcMar>
              <w:top w:w="80" w:type="dxa"/>
              <w:bottom w:w="80" w:type="dxa"/>
              <w:left w:w="100" w:type="dxa"/>
              <w:right w:w="100" w:type="dxa"/>
            </w:tcMar>
          </w:tcPr>
          <w:p>
            <w:pPr>
              <w:pStyle w:val="FicheNormal"/>
              <w:spacing w:after="40" w:before="40"/>
            </w:pPr>
            <w:r>
              <w:rPr>
                <w:b w:val="0"/>
                <w:sz w:val="19"/>
              </w:rPr>
              <w:t>........................................</w:t>
            </w:r>
          </w:p>
        </w:tc>
      </w:tr>
      <w:tr>
        <w:trPr>
          <w:cantSplit/>
        </w:trPr>
        <w:tc>
          <w:tcPr>
            <w:tcW w:type="dxa" w:w="1191"/>
            <w:vAlign w:val="center"/>
            <w:tcMar>
              <w:top w:w="80" w:type="dxa"/>
              <w:bottom w:w="80" w:type="dxa"/>
              <w:left w:w="100" w:type="dxa"/>
              <w:right w:w="100" w:type="dxa"/>
            </w:tcMar>
          </w:tcPr>
          <w:p>
            <w:pPr>
              <w:pStyle w:val="FicheNormal"/>
              <w:spacing w:after="40" w:before="40"/>
            </w:pPr>
            <w:r>
              <w:rPr>
                <w:b w:val="0"/>
                <w:sz w:val="19"/>
              </w:rPr>
              <w:t>P3</w:t>
            </w:r>
          </w:p>
        </w:tc>
        <w:tc>
          <w:tcPr>
            <w:tcW w:type="dxa" w:w="4195"/>
            <w:vAlign w:val="center"/>
            <w:tcMar>
              <w:top w:w="80" w:type="dxa"/>
              <w:bottom w:w="80" w:type="dxa"/>
              <w:left w:w="100" w:type="dxa"/>
              <w:right w:w="100" w:type="dxa"/>
            </w:tcMar>
          </w:tcPr>
          <w:p>
            <w:pPr>
              <w:pStyle w:val="FicheNormal"/>
              <w:spacing w:after="40" w:before="40"/>
            </w:pPr>
            <w:r>
              <w:rPr>
                <w:b w:val="0"/>
                <w:sz w:val="19"/>
              </w:rPr>
              <w:t>........................................</w:t>
            </w:r>
          </w:p>
        </w:tc>
        <w:tc>
          <w:tcPr>
            <w:tcW w:type="dxa" w:w="4195"/>
            <w:vAlign w:val="center"/>
            <w:tcMar>
              <w:top w:w="80" w:type="dxa"/>
              <w:bottom w:w="80" w:type="dxa"/>
              <w:left w:w="100" w:type="dxa"/>
              <w:right w:w="100" w:type="dxa"/>
            </w:tcMar>
          </w:tcPr>
          <w:p>
            <w:pPr>
              <w:pStyle w:val="FicheNormal"/>
              <w:spacing w:after="40" w:before="40"/>
            </w:pPr>
            <w:r>
              <w:rPr>
                <w:b w:val="0"/>
                <w:sz w:val="19"/>
              </w:rPr>
              <w:t>........................................</w:t>
            </w:r>
          </w:p>
        </w:tc>
      </w:tr>
    </w:tbl>
    <w:p>
      <w:pPr>
        <w:pStyle w:val="FicheNormal"/>
        <w:spacing w:before="120"/>
      </w:pPr>
      <w:r>
        <w:t>La valeur convenue est le montant global avant déduction de la commission, sans ventilation fiscale. Le taux indique la part de commission TTC appliquée à cette valeur, selon l’article 7 du présent contrat.</w:t>
      </w:r>
    </w:p>
    <w:p>
      <w:pPr>
        <w:pStyle w:val="FicheHeading1"/>
      </w:pPr>
      <w:r>
        <w:t>Acceptation</w:t>
      </w:r>
    </w:p>
    <w:p>
      <w:pPr>
        <w:pStyle w:val="FicheNormal"/>
      </w:pPr>
      <w:r>
        <w:t>Les parties acceptent l’ensemble du présent contrat, y compris les prestations et commissions renseignées dans cette fiche. Les lignes inutilisées sont barrées. Toute fiche supplémentaire acceptée est jointe aux deux exemplaires.</w:t>
      </w:r>
    </w:p>
    <w:p>
      <w:pPr>
        <w:pStyle w:val="FicheNormal"/>
      </w:pPr>
      <w:r>
        <w:t>Fait à ...................................., le ........................, en deux exemplaires originaux, dont un remis à chaque partie.</w:t>
      </w:r>
    </w:p>
    <w:p>
      <w:pPr>
        <w:pStyle w:val="FicheNormal"/>
        <w:tabs>
          <w:tab w:pos="4932" w:val="left"/>
        </w:tabs>
      </w:pPr>
      <w:r>
        <w:rPr>
          <w:b/>
        </w:rPr>
        <w:t>Pour le commerçant</w:t>
        <w:tab/>
        <w:t>Pour Localeo</w:t>
      </w:r>
    </w:p>
    <w:p>
      <w:pPr>
        <w:pStyle w:val="FicheNormal"/>
        <w:tabs>
          <w:tab w:pos="4932" w:val="left"/>
        </w:tabs>
      </w:pPr>
      <w:r>
        <w:rPr>
          <w:b w:val="0"/>
        </w:rPr>
        <w:t>Nom : ................................................</w:t>
        <w:tab/>
        <w:t>Nom : ................................................</w:t>
      </w:r>
    </w:p>
    <w:p>
      <w:pPr>
        <w:pStyle w:val="FicheNormal"/>
        <w:tabs>
          <w:tab w:pos="4932" w:val="left"/>
        </w:tabs>
      </w:pPr>
      <w:r>
        <w:rPr>
          <w:b w:val="0"/>
        </w:rPr>
        <w:t>Date et signature :</w:t>
        <w:tab/>
        <w:t>Date et signature :</w:t>
      </w:r>
    </w:p>
    <w:sectPr w:rsidR="00FC693F" w:rsidRPr="0006063C" w:rsidSect="00034616">
      <w:footerReference w:type="default" r:id="rId9"/>
      <w:pgSz w:w="11906" w:h="16838"/>
      <w:pgMar w:top="1077" w:right="1162" w:bottom="1049" w:left="1162" w:header="425"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LOCALEO  |  Contrat commerçant V1  |  Page </w:t>
    </w:r>
    <w:fldSimple w:instr="PAGE"/>
    <w:r>
      <w:rPr>
        <w:sz w:val="18"/>
      </w:rPr>
      <w:t xml:space="preserve"> sur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111827"/>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11827"/>
      <w:sz w:val="23"/>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40"/>
    </w:pPr>
    <w:rPr>
      <w:rFonts w:asciiTheme="majorHAnsi" w:eastAsiaTheme="majorEastAsia" w:hAnsiTheme="majorHAnsi" w:cstheme="majorBidi" w:ascii="Calibri" w:hAnsi="Calibri"/>
      <w:i/>
      <w:iCs/>
      <w:color w:val="4B5563"/>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11182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default="0" w:styleId="FicheNormal">
    <w:name w:val="FicheNormal"/>
    <w:qFormat/>
    <w:rsid w:val="00FC693F"/>
    <w:pPr>
      <w:widowControl/>
      <w:spacing w:line="259" w:lineRule="auto" w:after="120"/>
    </w:pPr>
    <w:rPr>
      <w:rFonts w:ascii="Calibri" w:hAnsi="Calibri"/>
      <w:color w:val="000000"/>
      <w:sz w:val="20"/>
      <w:lang w:val="fr-FR"/>
    </w:rPr>
  </w:style>
  <w:style w:type="paragraph" w:styleId="FicheHeading1" w:default="0">
    <w:name w:val="FicheHeading1"/>
    <w:basedOn w:val="FicheNormal"/>
    <w:next w:val="Fiche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24"/>
      <w:szCs w:val="28"/>
    </w:rPr>
  </w:style>
  <w:style w:type="paragraph" w:styleId="FicheTitle" w:default="0">
    <w:name w:val="FicheTitle"/>
    <w:basedOn w:val="FicheNormal"/>
    <w:next w:val="FicheNormal"/>
    <w:link w:val="TitleChar"/>
    <w:uiPriority w:val="10"/>
    <w:qFormat/>
    <w:rsid w:val="00FC693F"/>
    <w:pPr>
      <w:keepNext/>
      <w:spacing w:after="80" w:line="240" w:lineRule="auto" w:before="0"/>
      <w:contextualSpacing/>
    </w:pPr>
    <w:rPr>
      <w:rFonts w:asciiTheme="majorHAnsi" w:eastAsiaTheme="majorEastAsia" w:hAnsiTheme="majorHAnsi" w:cstheme="majorBidi" w:ascii="Calibri" w:hAnsi="Calibri"/>
      <w:b/>
      <w:color w:val="000000"/>
      <w:spacing w:val="5"/>
      <w:kern w:val="28"/>
      <w:sz w:val="40"/>
      <w:szCs w:val="52"/>
    </w:rPr>
  </w:style>
  <w:style w:type="paragraph" w:styleId="FicheSubtitle" w:default="0">
    <w:name w:val="FicheSubtitle"/>
    <w:basedOn w:val="FicheNormal"/>
    <w:next w:val="Fiche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000000"/>
      <w:spacing w:val="15"/>
      <w:sz w:val="20"/>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partenariat commerçant avec fiche prestations</dc:title>
  <dc:subject>Version à compléter et signer en deux exemplaires originaux</dc:subject>
  <dc:creator>Localeo</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