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NEXACREST INTERNATIONAL PRIVATE LIMITED</w:t>
            </w:r>
          </w:p>
          <w:p>
            <w:r>
              <w:rPr>
                <w:rFonts w:ascii="Aptos" w:cs="Aptos" w:eastAsia="Aptos" w:hAnsi="Aptos"/>
                <w:b/>
                <w:bCs/>
                <w:color w:val="8A1F1F"/>
                <w:sz w:val="22"/>
                <w:szCs w:val="22"/>
              </w:rPr>
              <w:t xml:space="preserve">ANNEXURE A — PRODUCT TECHNICAL SPECIFICATIONS</w:t>
            </w:r>
          </w:p>
        </w:tc>
        <w:tc>
          <w:tcPr>
            <w:tcW w:type="dxa" w:w="4338"/>
            <w:tcBorders>
              <w:top w:val="none" w:color="FFFFFF" w:sz="0"/>
              <w:left w:val="none" w:color="FFFFFF" w:sz="0"/>
              <w:bottom w:val="none" w:color="FFFFFF" w:sz="0"/>
              <w:right w:val="none" w:color="FFFFFF" w:sz="0"/>
            </w:tcBorders>
          </w:tcPr>
          <w:p>
            <w:pPr>
              <w:jc w:val="right"/>
            </w:pPr>
            <w:r>
              <w:rPr>
                <w:rFonts w:ascii="Aptos" w:cs="Aptos" w:eastAsia="Aptos" w:hAnsi="Aptos"/>
                <w:color w:val="5B6573"/>
                <w:sz w:val="18"/>
                <w:szCs w:val="18"/>
              </w:rPr>
              <w:t xml:space="preserve">Quotation No.: [SC/QT/YYYY/DDMMNNN]</w:t>
            </w:r>
          </w:p>
          <w:p>
            <w:pPr>
              <w:jc w:val="right"/>
            </w:pPr>
            <w:r>
              <w:rPr>
                <w:rFonts w:ascii="Aptos" w:cs="Aptos" w:eastAsia="Aptos" w:hAnsi="Aptos"/>
                <w:i/>
                <w:iCs/>
                <w:color w:val="5B6573"/>
                <w:sz w:val="18"/>
                <w:szCs w:val="18"/>
              </w:rPr>
              <w:t xml:space="preserve">Annexure forms part of the Quotation above.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6D1D" w:sz="12" w:space="0"/>
              <w:bottom w:val="single" w:color="D0D8E4" w:sz="2"/>
              <w:right w:val="single" w:color="D0D8E4" w:sz="2"/>
            </w:tcBorders>
            <w:shd w:fill="FAEEDA" w:val="clear"/>
            <w:tcMar>
              <w:top w:type="dxa" w:w="80"/>
              <w:left w:type="dxa" w:w="180"/>
              <w:bottom w:type="dxa" w:w="80"/>
              <w:right w:type="dxa" w:w="180"/>
            </w:tcMar>
          </w:tcPr>
          <w:p>
            <w:r>
              <w:rPr>
                <w:rFonts w:ascii="Aptos" w:cs="Aptos" w:eastAsia="Aptos" w:hAnsi="Aptos"/>
                <w:b/>
                <w:bCs/>
                <w:color w:val="8A6D1D"/>
                <w:sz w:val="18"/>
                <w:szCs w:val="18"/>
              </w:rPr>
              <w:t xml:space="preserve">Note: </w:t>
            </w:r>
            <w:r>
              <w:rPr>
                <w:rFonts w:ascii="Aptos" w:cs="Aptos" w:eastAsia="Aptos" w:hAnsi="Aptos"/>
                <w:i/>
                <w:iCs/>
                <w:color w:val="633806"/>
                <w:sz w:val="18"/>
                <w:szCs w:val="18"/>
              </w:rPr>
              <w:t xml:space="preserve">All images, drawings, and photographs in this Annexure are for product identification purposes only and do not constitute agreed specifications. The binding specifications are the dimensions, finish, and material stated in the text table for each product. Any variation between images and delivered product that is within the stated dimensions and finish standards is not a defect. Natural stone characteristics including colour variation, veining, and texture may differ between pieces. Where products meet the stated specifications, such variation is not a defect. Actual product appearance may differ due to the Natural Variation of granite.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PRODUCT 1 — European-Style Full Cover Grave Monument Set</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D0D8E4" w:sz="2"/>
              <w:left w:val="single" w:color="D0D8E4" w:sz="2"/>
              <w:bottom w:val="single" w:color="D0D8E4" w:sz="2"/>
              <w:right w:val="single" w:color="D0D8E4" w:sz="2"/>
            </w:tcBorders>
            <w:shd w:fill="000000" w:val="clear"/>
            <w:tcMar>
              <w:top w:type="dxa" w:w="60"/>
              <w:left w:type="dxa" w:w="60"/>
              <w:bottom w:type="dxa" w:w="60"/>
              <w:right w:type="dxa" w:w="60"/>
            </w:tcMar>
          </w:tcPr>
          <w:p>
            <w:pPr>
              <w:jc w:val="center"/>
            </w:pPr>
            <w:r>
              <w:drawing>
                <wp:inline distT="0" distB="0" distL="0" distR="0">
                  <wp:extent cx="190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476500"/>
                          </a:xfrm>
                          <a:prstGeom prst="rect">
                            <a:avLst/>
                          </a:prstGeom>
                        </pic:spPr>
                      </pic:pic>
                    </a:graphicData>
                  </a:graphic>
                </wp:inline>
              </w:drawing>
            </w:r>
          </w:p>
        </w:tc>
        <w:tc>
          <w:tcPr>
            <w:tcW w:type="dxa" w:w="5783"/>
            <w:tcBorders>
              <w:top w:val="single" w:color="D0D8E4" w:sz="2"/>
              <w:left w:val="single" w:color="D0D8E4" w:sz="2"/>
              <w:bottom w:val="single" w:color="D0D8E4" w:sz="2"/>
              <w:right w:val="single" w:color="D0D8E4" w:sz="2"/>
            </w:tcBorders>
            <w:tcMar>
              <w:top w:type="dxa" w:w="120"/>
              <w:left w:type="dxa" w:w="180"/>
              <w:bottom w:type="dxa" w:w="120"/>
              <w:right w:type="dxa" w:w="160"/>
            </w:tcMar>
          </w:tcPr>
          <w:p>
            <w:pPr>
              <w:spacing w:after="60"/>
            </w:pPr>
            <w:r>
              <w:rPr>
                <w:rFonts w:ascii="Aptos" w:cs="Aptos" w:eastAsia="Aptos" w:hAnsi="Aptos"/>
                <w:b/>
                <w:bCs/>
                <w:color w:val="17233A"/>
                <w:sz w:val="19"/>
                <w:szCs w:val="19"/>
              </w:rPr>
              <w:t xml:space="preserve">Product Code: SCI-AB-MS-001</w:t>
            </w:r>
          </w:p>
          <w:p>
            <w:pPr>
              <w:spacing w:after="120"/>
            </w:pPr>
            <w:r>
              <w:rPr>
                <w:rFonts w:ascii="Aptos" w:cs="Aptos" w:eastAsia="Aptos" w:hAnsi="Aptos"/>
                <w:b/>
                <w:bCs/>
                <w:color w:val="17233A"/>
                <w:sz w:val="20"/>
                <w:szCs w:val="20"/>
              </w:rPr>
              <w:t xml:space="preserve">European-Style Full Cover Grave Monument Set</w:t>
            </w:r>
          </w:p>
          <w:p>
            <w:pPr>
              <w:spacing w:after="80"/>
            </w:pPr>
            <w:r>
              <w:rPr>
                <w:rFonts w:ascii="Aptos" w:cs="Aptos" w:eastAsia="Aptos" w:hAnsi="Aptos"/>
                <w:b/>
                <w:bCs/>
                <w:color w:val="17233A"/>
                <w:sz w:val="18"/>
                <w:szCs w:val="18"/>
              </w:rPr>
              <w:t xml:space="preserve">Material: </w:t>
            </w:r>
            <w:r>
              <w:rPr>
                <w:rFonts w:ascii="Aptos" w:cs="Aptos" w:eastAsia="Aptos" w:hAnsi="Aptos"/>
                <w:color w:val="1A1A1A"/>
                <w:sz w:val="18"/>
                <w:szCs w:val="18"/>
              </w:rPr>
              <w:t xml:space="preserve">Premium Grade-A Southern Indian Absolute Black Granite, 100% Natural, Un-dyed</w:t>
            </w:r>
          </w:p>
          <w:p>
            <w:pPr>
              <w:spacing w:after="80"/>
            </w:pPr>
            <w:r>
              <w:rPr>
                <w:rFonts w:ascii="Aptos" w:cs="Aptos" w:eastAsia="Aptos" w:hAnsi="Aptos"/>
                <w:b/>
                <w:bCs/>
                <w:color w:val="17233A"/>
                <w:sz w:val="18"/>
                <w:szCs w:val="18"/>
              </w:rPr>
              <w:t xml:space="preserve">Surface Finish: </w:t>
            </w:r>
            <w:r>
              <w:rPr>
                <w:rFonts w:ascii="Aptos" w:cs="Aptos" w:eastAsia="Aptos" w:hAnsi="Aptos"/>
                <w:color w:val="1A1A1A"/>
                <w:sz w:val="18"/>
                <w:szCs w:val="18"/>
              </w:rPr>
              <w:t xml:space="preserve">All visible faces mirror-polished to minimum 95+ gloss rating</w:t>
            </w:r>
          </w:p>
          <w:p>
            <w:pPr>
              <w:spacing w:after="80"/>
            </w:pPr>
            <w:r>
              <w:rPr>
                <w:rFonts w:ascii="Aptos" w:cs="Aptos" w:eastAsia="Aptos" w:hAnsi="Aptos"/>
                <w:b/>
                <w:bCs/>
                <w:color w:val="17233A"/>
                <w:sz w:val="18"/>
                <w:szCs w:val="18"/>
              </w:rPr>
              <w:t xml:space="preserve">HS Code: </w:t>
            </w:r>
            <w:r>
              <w:rPr>
                <w:rFonts w:ascii="Aptos" w:cs="Aptos" w:eastAsia="Aptos" w:hAnsi="Aptos"/>
                <w:color w:val="1A1A1A"/>
                <w:sz w:val="18"/>
                <w:szCs w:val="18"/>
              </w:rPr>
              <w:t xml:space="preserve">6802.93 — Worked Monumental Granite</w:t>
            </w:r>
          </w:p>
          <w:p>
            <w:pPr>
              <w:spacing w:after="80"/>
            </w:pPr>
            <w:r>
              <w:rPr>
                <w:rFonts w:ascii="Aptos" w:cs="Aptos" w:eastAsia="Aptos" w:hAnsi="Aptos"/>
                <w:b/>
                <w:bCs/>
                <w:color w:val="17233A"/>
                <w:sz w:val="18"/>
                <w:szCs w:val="18"/>
              </w:rPr>
              <w:t xml:space="preserve">Country of Origin: </w:t>
            </w:r>
            <w:r>
              <w:rPr>
                <w:rFonts w:ascii="Aptos" w:cs="Aptos" w:eastAsia="Aptos" w:hAnsi="Aptos"/>
                <w:color w:val="1A1A1A"/>
                <w:sz w:val="18"/>
                <w:szCs w:val="18"/>
              </w:rPr>
              <w:t xml:space="preserve">India</w:t>
            </w:r>
          </w:p>
          <w:p>
            <w:pPr>
              <w:spacing w:after="80"/>
            </w:pPr>
            <w:r>
              <w:rPr>
                <w:rFonts w:ascii="Aptos" w:cs="Aptos" w:eastAsia="Aptos" w:hAnsi="Aptos"/>
                <w:b/>
                <w:bCs/>
                <w:color w:val="17233A"/>
                <w:sz w:val="18"/>
                <w:szCs w:val="18"/>
              </w:rPr>
              <w:t xml:space="preserve">Total Net Volume: </w:t>
            </w:r>
            <w:r>
              <w:rPr>
                <w:rFonts w:ascii="Aptos" w:cs="Aptos" w:eastAsia="Aptos" w:hAnsi="Aptos"/>
                <w:color w:val="1A1A1A"/>
                <w:sz w:val="18"/>
                <w:szCs w:val="18"/>
              </w:rPr>
              <w:t xml:space="preserve">0.235 m³ (approx. — actuals confirmed on Packing List)</w:t>
            </w:r>
          </w:p>
          <w:p>
            <w:pPr>
              <w:spacing w:after="80"/>
            </w:pPr>
            <w:r>
              <w:rPr>
                <w:rFonts w:ascii="Aptos" w:cs="Aptos" w:eastAsia="Aptos" w:hAnsi="Aptos"/>
                <w:b/>
                <w:bCs/>
                <w:color w:val="17233A"/>
                <w:sz w:val="18"/>
                <w:szCs w:val="18"/>
              </w:rPr>
              <w:t xml:space="preserve">Includes: </w:t>
            </w:r>
            <w:r>
              <w:rPr>
                <w:rFonts w:ascii="Aptos" w:cs="Aptos" w:eastAsia="Aptos" w:hAnsi="Aptos"/>
                <w:color w:val="1A1A1A"/>
                <w:sz w:val="18"/>
                <w:szCs w:val="18"/>
              </w:rPr>
              <w:t xml:space="preserve">Monument frame, cover slab, headstone, base supports — complete set as per technical drawing</w:t>
            </w:r>
          </w:p>
        </w:tc>
      </w:tr>
    </w:tbl>
    <w:p>
      <w:pPr>
        <w:spacing w:after="160" w:before="0"/>
      </w:pPr>
    </w:p>
    <w:p>
      <w:pPr>
        <w:spacing w:after="80"/>
      </w:pPr>
      <w:r>
        <w:rPr>
          <w:rFonts w:ascii="Aptos" w:cs="Aptos" w:eastAsia="Aptos" w:hAnsi="Aptos"/>
          <w:b/>
          <w:bCs/>
          <w:color w:val="17233A"/>
          <w:sz w:val="19"/>
          <w:szCs w:val="19"/>
        </w:rPr>
        <w:t xml:space="preserve">Technical Drawing &amp; Component Dimensions</w:t>
      </w:r>
    </w:p>
    <w:p>
      <w:pPr>
        <w:spacing w:before="0" w:after="60"/>
      </w:pPr>
      <w:r>
        <w:rPr>
          <w:rFonts w:ascii="Aptos" w:cs="Aptos" w:eastAsia="Aptos" w:hAnsi="Aptos"/>
          <w:i/>
          <w:sz w:val="17"/>
          <w:szCs w:val="17"/>
          <w:color w:val="5B6573"/>
        </w:rPr>
        <w:t xml:space="preserve">Terms used in this document are defined in Section 8 — Legal Terms &amp; Definitions at the end of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shd w:fill="F8F9FA" w:val="clear"/>
            <w:tcMar>
              <w:top w:type="dxa" w:w="60"/>
              <w:left w:type="dxa" w:w="60"/>
              <w:bottom w:type="dxa" w:w="60"/>
              <w:right w:type="dxa" w:w="60"/>
            </w:tcMar>
          </w:tcPr>
          <w:p>
            <w:pPr>
              <w:jc w:val="center"/>
            </w:pPr>
            <w:r>
              <w:drawing>
                <wp:inline distT="0" distB="0" distL="0" distR="0">
                  <wp:extent cx="228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905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spacing w:after="80"/>
            </w:pPr>
            <w:r>
              <w:rPr>
                <w:rFonts w:ascii="Aptos" w:cs="Aptos" w:eastAsia="Aptos" w:hAnsi="Aptos"/>
                <w:b/>
                <w:bCs/>
                <w:color w:val="17233A"/>
                <w:sz w:val="18"/>
                <w:szCs w:val="18"/>
              </w:rPr>
              <w:t xml:space="preserve">Component Dimensions</w:t>
            </w:r>
          </w:p>
          <w:tbl>
            <w:tblPr>
              <w:tblW w:type="dxa" w:w="4739"/>
              <w:tblBorders>
                <w:top w:val="single" w:color="auto" w:sz="4"/>
                <w:left w:val="single" w:color="auto" w:sz="4"/>
                <w:bottom w:val="single" w:color="auto" w:sz="4"/>
                <w:right w:val="single" w:color="auto" w:sz="4"/>
                <w:insideH w:val="single" w:color="auto" w:sz="4"/>
                <w:insideV w:val="single" w:color="auto" w:sz="4"/>
              </w:tblBorders>
            </w:tblPr>
            <w:tblGrid>
              <w:gridCol w:w="789"/>
              <w:gridCol w:w="789"/>
              <w:gridCol w:w="789"/>
              <w:gridCol w:w="789"/>
              <w:gridCol w:w="789"/>
              <w:gridCol w:w="789"/>
            </w:tblGrid>
            <w:tr>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Slab</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L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W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H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Pcs</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m³</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A</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45</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6</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0.011</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B</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0.014</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C</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178</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0.057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D</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0.014</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E</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193</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0.027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F</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60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0.008</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G</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15</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H</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15</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0.006</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J</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0.004</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K</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84</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24</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0.022</w:t>
                  </w:r>
                </w:p>
              </w:tc>
            </w:tr>
            <w:tr>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TOTAL</w:t>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14</w:t>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0.235</w:t>
                  </w:r>
                </w:p>
              </w:tc>
            </w:tr>
          </w:tbl>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PRODUCT 2 — Turned Memorial Flower Vase (Premium Relief Edition)</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D0D8E4" w:sz="2"/>
              <w:left w:val="single" w:color="D0D8E4" w:sz="2"/>
              <w:bottom w:val="single" w:color="D0D8E4" w:sz="2"/>
              <w:right w:val="single" w:color="D0D8E4" w:sz="2"/>
            </w:tcBorders>
            <w:shd w:fill="1A1A1A" w:val="clear"/>
            <w:tcMar>
              <w:top w:type="dxa" w:w="60"/>
              <w:left w:type="dxa" w:w="60"/>
              <w:bottom w:type="dxa" w:w="60"/>
              <w:right w:type="dxa" w:w="60"/>
            </w:tcMar>
          </w:tcPr>
          <w:p>
            <w:pPr>
              <w:jc w:val="center"/>
            </w:pPr>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905000"/>
                          </a:xfrm>
                          <a:prstGeom prst="rect">
                            <a:avLst/>
                          </a:prstGeom>
                        </pic:spPr>
                      </pic:pic>
                    </a:graphicData>
                  </a:graphic>
                </wp:inline>
              </w:drawing>
            </w:r>
          </w:p>
        </w:tc>
        <w:tc>
          <w:tcPr>
            <w:tcW w:type="dxa" w:w="6265"/>
            <w:tcBorders>
              <w:top w:val="single" w:color="D0D8E4" w:sz="2"/>
              <w:left w:val="single" w:color="D0D8E4" w:sz="2"/>
              <w:bottom w:val="single" w:color="D0D8E4" w:sz="2"/>
              <w:right w:val="single" w:color="D0D8E4" w:sz="2"/>
            </w:tcBorders>
            <w:tcMar>
              <w:top w:type="dxa" w:w="120"/>
              <w:left w:type="dxa" w:w="180"/>
              <w:bottom w:type="dxa" w:w="120"/>
              <w:right w:type="dxa" w:w="160"/>
            </w:tcMar>
          </w:tcPr>
          <w:p>
            <w:pPr>
              <w:spacing w:after="60"/>
            </w:pPr>
            <w:r>
              <w:rPr>
                <w:rFonts w:ascii="Aptos" w:cs="Aptos" w:eastAsia="Aptos" w:hAnsi="Aptos"/>
                <w:b/>
                <w:bCs/>
                <w:color w:val="17233A"/>
                <w:sz w:val="19"/>
                <w:szCs w:val="19"/>
              </w:rPr>
              <w:t xml:space="preserve">Product Code: SCI-AB-MFV-001</w:t>
            </w:r>
          </w:p>
          <w:p>
            <w:pPr>
              <w:spacing w:after="120"/>
            </w:pPr>
            <w:r>
              <w:rPr>
                <w:rFonts w:ascii="Aptos" w:cs="Aptos" w:eastAsia="Aptos" w:hAnsi="Aptos"/>
                <w:b/>
                <w:bCs/>
                <w:color w:val="17233A"/>
                <w:sz w:val="20"/>
                <w:szCs w:val="20"/>
              </w:rPr>
              <w:t xml:space="preserve">Turned Memorial Flower Vase — Premium Relief Edition</w:t>
            </w:r>
          </w:p>
          <w:p>
            <w:pPr>
              <w:spacing w:after="80"/>
            </w:pPr>
            <w:r>
              <w:rPr>
                <w:rFonts w:ascii="Aptos" w:cs="Aptos" w:eastAsia="Aptos" w:hAnsi="Aptos"/>
                <w:b/>
                <w:bCs/>
                <w:color w:val="17233A"/>
                <w:sz w:val="18"/>
                <w:szCs w:val="18"/>
              </w:rPr>
              <w:t xml:space="preserve">Material: </w:t>
            </w:r>
            <w:r>
              <w:rPr>
                <w:rFonts w:ascii="Aptos" w:cs="Aptos" w:eastAsia="Aptos" w:hAnsi="Aptos"/>
                <w:color w:val="1A1A1A"/>
                <w:sz w:val="18"/>
                <w:szCs w:val="18"/>
              </w:rPr>
              <w:t xml:space="preserve">Premium Indian Absolute Black Granite, 100% Natural, Un-dyed</w:t>
            </w:r>
          </w:p>
          <w:p>
            <w:pPr>
              <w:spacing w:after="80"/>
            </w:pPr>
            <w:r>
              <w:rPr>
                <w:rFonts w:ascii="Aptos" w:cs="Aptos" w:eastAsia="Aptos" w:hAnsi="Aptos"/>
                <w:b/>
                <w:bCs/>
                <w:color w:val="17233A"/>
                <w:sz w:val="18"/>
                <w:szCs w:val="18"/>
              </w:rPr>
              <w:t xml:space="preserve">Artisan Work: </w:t>
            </w:r>
            <w:r>
              <w:rPr>
                <w:rFonts w:ascii="Aptos" w:cs="Aptos" w:eastAsia="Aptos" w:hAnsi="Aptos"/>
                <w:color w:val="1A1A1A"/>
                <w:sz w:val="18"/>
                <w:szCs w:val="18"/>
              </w:rPr>
              <w:t xml:space="preserve">Deep 3D hand-carved relief rose — each piece individually carved</w:t>
            </w:r>
          </w:p>
          <w:p>
            <w:pPr>
              <w:spacing w:after="80"/>
            </w:pPr>
            <w:r>
              <w:rPr>
                <w:rFonts w:ascii="Aptos" w:cs="Aptos" w:eastAsia="Aptos" w:hAnsi="Aptos"/>
                <w:b/>
                <w:bCs/>
                <w:color w:val="17233A"/>
                <w:sz w:val="18"/>
                <w:szCs w:val="18"/>
              </w:rPr>
              <w:t xml:space="preserve">Dimensions: </w:t>
            </w:r>
            <w:r>
              <w:rPr>
                <w:rFonts w:ascii="Aptos" w:cs="Aptos" w:eastAsia="Aptos" w:hAnsi="Aptos"/>
                <w:color w:val="1A1A1A"/>
                <w:sz w:val="18"/>
                <w:szCs w:val="18"/>
              </w:rPr>
              <w:t xml:space="preserve">Height: 25 cm  |  Diameter: 15 cm  |  Hole diameter: 9 cm</w:t>
            </w:r>
          </w:p>
          <w:p>
            <w:pPr>
              <w:spacing w:after="80"/>
            </w:pPr>
            <w:r>
              <w:rPr>
                <w:rFonts w:ascii="Aptos" w:cs="Aptos" w:eastAsia="Aptos" w:hAnsi="Aptos"/>
                <w:b/>
                <w:bCs/>
                <w:color w:val="17233A"/>
                <w:sz w:val="18"/>
                <w:szCs w:val="18"/>
              </w:rPr>
              <w:t xml:space="preserve">Surface Finish: </w:t>
            </w:r>
            <w:r>
              <w:rPr>
                <w:rFonts w:ascii="Aptos" w:cs="Aptos" w:eastAsia="Aptos" w:hAnsi="Aptos"/>
                <w:color w:val="1A1A1A"/>
                <w:sz w:val="18"/>
                <w:szCs w:val="18"/>
              </w:rPr>
              <w:t xml:space="preserve">Exterior: mirror-polished  |  Carved rose area: natural/rough contrast</w:t>
            </w:r>
          </w:p>
          <w:p>
            <w:pPr>
              <w:spacing w:after="80"/>
            </w:pPr>
            <w:r>
              <w:rPr>
                <w:rFonts w:ascii="Aptos" w:cs="Aptos" w:eastAsia="Aptos" w:hAnsi="Aptos"/>
                <w:b/>
                <w:bCs/>
                <w:color w:val="17233A"/>
                <w:sz w:val="18"/>
                <w:szCs w:val="18"/>
              </w:rPr>
              <w:t xml:space="preserve">HS Code: </w:t>
            </w:r>
            <w:r>
              <w:rPr>
                <w:rFonts w:ascii="Aptos" w:cs="Aptos" w:eastAsia="Aptos" w:hAnsi="Aptos"/>
                <w:color w:val="1A1A1A"/>
                <w:sz w:val="18"/>
                <w:szCs w:val="18"/>
              </w:rPr>
              <w:t xml:space="preserve">6802.93 — Worked Monumental Granite</w:t>
            </w:r>
          </w:p>
          <w:p>
            <w:pPr>
              <w:spacing w:after="80"/>
            </w:pPr>
            <w:r>
              <w:rPr>
                <w:rFonts w:ascii="Aptos" w:cs="Aptos" w:eastAsia="Aptos" w:hAnsi="Aptos"/>
                <w:b/>
                <w:bCs/>
                <w:color w:val="17233A"/>
                <w:sz w:val="18"/>
                <w:szCs w:val="18"/>
              </w:rPr>
              <w:t xml:space="preserve">Country of Origin: </w:t>
            </w:r>
            <w:r>
              <w:rPr>
                <w:rFonts w:ascii="Aptos" w:cs="Aptos" w:eastAsia="Aptos" w:hAnsi="Aptos"/>
                <w:color w:val="1A1A1A"/>
                <w:sz w:val="18"/>
                <w:szCs w:val="18"/>
              </w:rPr>
              <w:t xml:space="preserve">India</w:t>
            </w:r>
          </w:p>
          <w:p>
            <w:pPr>
              <w:spacing w:after="80"/>
            </w:pPr>
            <w:r>
              <w:rPr>
                <w:rFonts w:ascii="Aptos" w:cs="Aptos" w:eastAsia="Aptos" w:hAnsi="Aptos"/>
                <w:b/>
                <w:bCs/>
                <w:color w:val="17233A"/>
                <w:sz w:val="18"/>
                <w:szCs w:val="18"/>
              </w:rPr>
              <w:t xml:space="preserve">Note: </w:t>
            </w:r>
            <w:r>
              <w:rPr>
                <w:rFonts w:ascii="Aptos" w:cs="Aptos" w:eastAsia="Aptos" w:hAnsi="Aptos"/>
                <w:color w:val="1A1A1A"/>
                <w:sz w:val="18"/>
                <w:szCs w:val="18"/>
              </w:rPr>
              <w:t xml:space="preserve">Due to handcrafted nature, slight variation in rose carving pattern is natural and expected.</w:t>
            </w:r>
          </w:p>
        </w:tc>
      </w:tr>
    </w:tbl>
    <w:p>
      <w:pPr>
        <w:spacing w:after="2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7233A" w:sz="12" w:space="0"/>
              <w:bottom w:val="single" w:color="D0D8E4" w:sz="2"/>
              <w:right w:val="single" w:color="D0D8E4" w:sz="2"/>
            </w:tcBorders>
            <w:shd w:fill="E6F1FB" w:val="clear"/>
            <w:tcMar>
              <w:top w:type="dxa" w:w="100"/>
              <w:left w:type="dxa" w:w="180"/>
              <w:bottom w:type="dxa" w:w="100"/>
              <w:right w:type="dxa" w:w="180"/>
            </w:tcMar>
          </w:tcPr>
          <w:p>
            <w:r>
              <w:rPr>
                <w:rFonts w:ascii="Aptos" w:cs="Aptos" w:eastAsia="Aptos" w:hAnsi="Aptos"/>
                <w:b/>
                <w:bCs/>
                <w:color w:val="17233A"/>
                <w:sz w:val="18"/>
                <w:szCs w:val="18"/>
              </w:rPr>
              <w:t xml:space="preserve">This Annexure A forms an integral part of [Quotation No. SC/QT/YYYY/DDMMNNN / Proforma Invoice No. SC/PI/YYYY/DDMMNNN] dated [DD Month YYYY]. </w:t>
            </w:r>
            <w:r>
              <w:rPr>
                <w:rFonts w:ascii="Aptos" w:cs="Aptos" w:eastAsia="Aptos" w:hAnsi="Aptos"/>
                <w:i/>
                <w:iCs/>
                <w:color w:val="185FA5"/>
                <w:sz w:val="18"/>
                <w:szCs w:val="18"/>
              </w:rPr>
              <w:t xml:space="preserve">The commercial terms, pricing, payment conditions, and quantities stated in the main document take precedence in all cases. Product images and technical drawings in this annexure are for reference and identification purposes only. This Annexure is not valid as a standalone document.</w:t>
            </w:r>
          </w:p>
        </w:tc>
      </w:tr>
    </w:tbl>
    <w:p>
      <w:pPr>
        <w:spacing w:after="280" w:before="0"/>
      </w:pPr>
    </w:p>
    <w:p>
      <w:pPr>
        <w:spacing w:before="0" w:after="80"/>
      </w:pPr>
    </w:p>
    <w:tbl>
      <w:tblPr>
        <w:tblW w:w="9638" w:type="dxa"/>
        <w:tblBorders>
          <w:top w:val="single" w:color="17233A" w:sz="6"/>
          <w:left w:val="single" w:color="17233A" w:sz="6"/>
          <w:bottom w:val="single" w:color="17233A" w:sz="6"/>
          <w:right w:val="single" w:color="17233A" w:sz="6"/>
        </w:tblBorders>
      </w:tblPr>
      <w:tblGrid>
        <w:gridCol w:w="9638"/>
      </w:tblGrid>
      <w:tr>
        <w:tc>
          <w:tcPr>
            <w:tcW w:w="9638" w:type="dxa"/>
            <w:shd w:fill="17233A" w:val="clear"/>
            <w:tcMar>
              <w:top w:type="dxa" w:w="60"/>
              <w:left w:type="dxa" w:w="160"/>
              <w:bottom w:type="dxa" w:w="60"/>
              <w:right w:type="dxa" w:w="160"/>
            </w:tcMar>
          </w:tcPr>
          <w:p>
            <w:pPr>
              <w:spacing w:before="0" w:after="0"/>
            </w:pPr>
            <w:r>
              <w:rPr>
                <w:rFonts w:ascii="Aptos" w:cs="Aptos" w:eastAsia="Aptos" w:hAnsi="Aptos"/>
                <w:b/>
                <w:bCs/>
                <w:color w:val="FFFFFF"/>
                <w:sz w:val="18"/>
                <w:szCs w:val="18"/>
              </w:rPr>
              <w:t>TERMS &amp; CONDITIONS</w:t>
            </w:r>
          </w:p>
        </w:tc>
      </w:tr>
    </w:tbl>
    <w:tbl>
      <w:tblPr>
        <w:tblW w:w="9638" w:type="dxa"/>
        <w:tblBorders>
          <w:top w:val="single" w:color="D0D8E4" w:sz="4"/>
          <w:left w:val="single" w:color="D0D8E4" w:sz="4"/>
          <w:bottom w:val="single" w:color="D0D8E4" w:sz="4"/>
          <w:right w:val="single" w:color="D0D8E4" w:sz="4"/>
        </w:tblBorders>
      </w:tblPr>
      <w:tblGrid>
        <w:gridCol w:w="9638"/>
      </w:tblGrid>
      <w:tr>
        <w:tc>
          <w:tcPr>
            <w:tcW w:w="9638" w:type="dxa"/>
            <w:shd w:fill="F9FAFB" w:val="clear"/>
            <w:tcMar>
              <w:top w:type="dxa" w:w="80"/>
              <w:left w:type="dxa" w:w="160"/>
              <w:bottom w:type="dxa" w:w="80"/>
              <w:right w:type="dxa" w:w="160"/>
            </w:tcMar>
          </w:tcPr>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sz="0" w:color="FFFFFF"/>
              <w:left w:val="none" w:sz="0" w:color="FFFFFF"/>
              <w:bottom w:val="none" w:sz="0" w:color="FFFFFF"/>
              <w:right w:val="none" w:sz="0" w:color="FFFFFF"/>
            </w:tcBorders>
            <w:tcMar>
              <w:top w:w="80" w:type="dxa"/>
              <w:left w:w="200" w:type="dxa"/>
              <w:bottom w:w="80" w:type="dxa"/>
              <w:right w:w="200" w:type="dxa"/>
            </w:tcMar>
          </w:tcPr>
          <w:p>
            <w:pPr>
              <w:spacing w:before="0" w:after="0"/>
            </w:pPr>
            <w:r>
              <w:rPr>
                <w:rFonts w:ascii="Aptos" w:cs="Aptos" w:eastAsia="Aptos" w:hAnsi="Aptos"/>
                <w:b/>
                <w:bCs/>
                <w:sz w:val="22"/>
                <w:szCs w:val="22"/>
                <w:color w:val="FFFFFF"/>
              </w:rPr>
              <w:t>8.  LEGAL TERMS &amp; DEFINITIONS</w:t>
            </w:r>
          </w:p>
        </w:tc>
      </w:tr>
    </w:tbl>
    <w:p>
      <w:pPr>
        <w:spacing w:before="0" w:after="6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does not apply.</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143000"/>
                          </a:xfrm>
                          <a:prstGeom prst="rect">
                            <a:avLst/>
                          </a:prstGeom>
                        </pic:spPr>
                      </pic:pic>
                    </a:graphicData>
                  </a:graphic>
                </wp:inline>
              </w:drawing>
            </w:r>
          </w:p>
          <w:p>
            <w:pPr>
              <w:pBdr>
                <w:bottom w:val="single" w:color="CCCCCC"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789f28c27584cdab5abda97cbc84a19c9832a5.jpg"/><Relationship Id="rId8" Type="http://schemas.openxmlformats.org/officeDocument/2006/relationships/image" Target="media/8f6b9c4f6876575bf5a53bcca763ff47b811f727.jpg"/><Relationship Id="rId9" Type="http://schemas.openxmlformats.org/officeDocument/2006/relationships/image" Target="media/1aa8e62aeae25c9c344050111201d8e085c304cc.jpg"/><Relationship Id="rId10" Type="http://schemas.openxmlformats.org/officeDocument/2006/relationships/image" Target="media/169126f1dd7945989cde2303586403d6563d6424.png"/><Relationship Id="rId11" Type="http://schemas.openxmlformats.org/officeDocument/2006/relationships/image" Target="media/a6c9f98c305a70a92153282adf23ac209510f448.png"/><Relationship Id="rId12" Type="http://schemas.openxmlformats.org/officeDocument/2006/relationships/image" Target="media/db9422367a69f1c25aa0f15d56ddf24a347470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2026-09-11T03:52:53.810Z</dcterms:created>
  <dcterms:modified xsi:type="dcterms:W3CDTF">2026-09-11T03:52:53.810Z</dcterms:modified>
</cp:coreProperties>
</file>

<file path=docProps/custom.xml><?xml version="1.0" encoding="utf-8"?>
<Properties xmlns="http://schemas.openxmlformats.org/officeDocument/2006/custom-properties" xmlns:vt="http://schemas.openxmlformats.org/officeDocument/2006/docPropsVTypes"/>
</file>