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1400"/>
        <w:gridCol w:w="8238"/>
      </w:tblGrid>
      <w:tr>
        <w:tc>
          <w:tcPr>
            <w:tcW w:type="dxa" w:w="1400"/>
            <w:tcBorders>
              <w:top w:val="none" w:color="FFFFFF" w:sz="0"/>
              <w:left w:val="none" w:color="FFFFFF" w:sz="0"/>
              <w:bottom w:val="none" w:color="FFFFFF" w:sz="0"/>
              <w:right w:val="none" w:color="FFFFFF" w:sz="0"/>
            </w:tcBorders>
            <w:tcMar>
              <w:top w:type="dxa" w:w="0"/>
              <w:left w:type="dxa" w:w="0"/>
              <w:bottom w:type="dxa" w:w="0"/>
              <w:right w:type="dxa" w:w="200"/>
            </w:tcMar>
            <w:vAlign w:val="center"/>
          </w:tcPr>
          <w:p>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 cy="685800"/>
                          </a:xfrm>
                          <a:prstGeom prst="rect">
                            <a:avLst/>
                          </a:prstGeom>
                        </pic:spPr>
                      </pic:pic>
                    </a:graphicData>
                  </a:graphic>
                </wp:inline>
              </w:drawing>
            </w:r>
          </w:p>
        </w:tc>
        <w:tc>
          <w:tcPr>
            <w:tcW w:type="dxa" w:w="8238"/>
            <w:tcBorders>
              <w:top w:val="none" w:color="FFFFFF" w:sz="0"/>
              <w:left w:val="none" w:color="FFFFFF" w:sz="0"/>
              <w:bottom w:val="none" w:color="FFFFFF" w:sz="0"/>
              <w:right w:val="none" w:color="FFFFFF" w:sz="0"/>
            </w:tcBorders>
            <w:vAlign w:val="center"/>
          </w:tcPr>
          <w:p>
            <w:pPr>
              <w:spacing w:after="60"/>
              <w:jc w:val="right"/>
            </w:pPr>
            <w:r>
              <w:rPr>
                <w:rFonts w:ascii="Aptos" w:cs="Aptos" w:eastAsia="Aptos" w:hAnsi="Aptos"/>
                <w:b/>
                <w:bCs/>
                <w:color w:val="17233A"/>
                <w:sz w:val="26"/>
                <w:szCs w:val="26"/>
              </w:rPr>
              <w:t xml:space="preserve">NEXACREST INTERNATIONAL PRIVATE LIMITED</w:t>
            </w:r>
          </w:p>
          <w:p>
            <w:pPr>
              <w:spacing w:after="40"/>
              <w:jc w:val="right"/>
            </w:pPr>
            <w:r>
              <w:rPr>
                <w:rFonts w:ascii="Aptos" w:cs="Aptos" w:eastAsia="Aptos" w:hAnsi="Aptos"/>
                <w:b/>
                <w:bCs/>
                <w:color w:val="17233A"/>
                <w:sz w:val="36"/>
                <w:szCs w:val="36"/>
              </w:rPr>
              <w:t xml:space="preserve">ORDER CONFIRMATION</w:t>
            </w:r>
          </w:p>
          <w:p>
            <w:pPr>
              <w:jc w:val="right"/>
            </w:pPr>
            <w:r>
              <w:rPr>
                <w:rFonts w:ascii="Aptos" w:cs="Aptos" w:eastAsia="Aptos" w:hAnsi="Aptos"/>
                <w:b/>
                <w:bCs/>
                <w:color w:val="5B6573"/>
                <w:sz w:val="20"/>
                <w:szCs w:val="20"/>
              </w:rPr>
              <w:t xml:space="preserve"/>
            </w:r>
          </w:p>
        </w:tc>
      </w:tr>
    </w:tbl>
    <w:p>
      <w:pPr>
        <w:spacing w:after="120" w:before="0"/>
      </w:pPr>
    </w:p>
    <w:p>
      <w:pPr>
        <w:spacing w:after="80" w:before="160"/>
      </w:pPr>
      <w:r>
        <w:rPr>
          <w:rFonts w:ascii="Aptos" w:cs="Aptos" w:eastAsia="Aptos" w:hAnsi="Aptos"/>
          <w:i/>
          <w:iCs/>
          <w:color w:val="5B6573"/>
          <w:sz w:val="18"/>
          <w:szCs w:val="18"/>
        </w:rPr>
        <w:t xml:space="preserve">Fields marked </w:t>
      </w:r>
      <w:r>
        <w:rPr>
          <w:rFonts w:ascii="Aptos" w:cs="Aptos" w:eastAsia="Aptos" w:hAnsi="Aptos"/>
          <w:b/>
          <w:bCs/>
          <w:color w:val="C0392B"/>
          <w:sz w:val="18"/>
          <w:szCs w:val="18"/>
        </w:rPr>
        <w:t xml:space="preserve">*</w:t>
      </w:r>
      <w:r>
        <w:rPr>
          <w:rFonts w:ascii="Aptos" w:cs="Aptos" w:eastAsia="Aptos" w:hAnsi="Aptos"/>
          <w:i/>
          <w:iCs/>
          <w:color w:val="5B6573"/>
          <w:sz w:val="18"/>
          <w:szCs w:val="18"/>
        </w:rPr>
        <w:t xml:space="preserve"> are mandatory and must be completed before this document is issued.</w:t>
      </w:r>
    </w:p>
    <w:p>
      <w:pPr>
        <w:spacing w:before="0" w:after="60"/>
      </w:pPr>
      <w:r>
        <w:rPr>
          <w:rFonts w:ascii="Aptos" w:cs="Aptos" w:eastAsia="Aptos" w:hAnsi="Aptos"/>
          <w:i/>
          <w:sz w:val="17"/>
          <w:szCs w:val="17"/>
          <w:color w:val="5B6573"/>
        </w:rPr>
        <w:t xml:space="preserve">Terms used in this document are defined in Section 9 — Legal Terms &amp; Definitions at the end of this document.</w:t>
      </w:r>
    </w:p>
    <w:p>
      <w:pPr>
        <w:spacing w:after="16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409"/>
        <w:gridCol w:w="2409"/>
        <w:gridCol w:w="2409"/>
        <w:gridCol w:w="2409"/>
      </w:tblGrid>
      <w:tr>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OC NUMBER *</w:t>
            </w:r>
          </w:p>
          <w:p>
            <w:r>
              <w:rPr>
                <w:rFonts w:ascii="Aptos" w:cs="Aptos" w:eastAsia="Aptos" w:hAnsi="Aptos"/>
                <w:b/>
                <w:bCs/>
                <w:color w:val="17233A"/>
                <w:sz w:val="20"/>
                <w:szCs w:val="20"/>
              </w:rPr>
              <w:t xml:space="preserve">[SC/OC/YYYY/DDMMNNN Rev.00]</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DATE *</w:t>
            </w:r>
          </w:p>
          <w:p>
            <w:r>
              <w:rPr>
                <w:rFonts w:ascii="Aptos" w:cs="Aptos" w:eastAsia="Aptos" w:hAnsi="Aptos"/>
                <w:b/>
                <w:bCs/>
                <w:color w:val="17233A"/>
                <w:sz w:val="20"/>
                <w:szCs w:val="20"/>
              </w:rPr>
              <w:t xml:space="preserve">[DD Month YYYY]</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PI REFERENCE *</w:t>
            </w:r>
          </w:p>
          <w:p>
            <w:r>
              <w:rPr>
                <w:rFonts w:ascii="Aptos" w:cs="Aptos" w:eastAsia="Aptos" w:hAnsi="Aptos"/>
                <w:b/>
                <w:bCs/>
                <w:color w:val="17233A"/>
                <w:sz w:val="20"/>
                <w:szCs w:val="20"/>
              </w:rPr>
              <w:t xml:space="preserve">[SC/PI/YYYY/DDMMNNN]</w:t>
            </w:r>
          </w:p>
        </w:tc>
        <w:tc>
          <w:tcPr>
            <w:tcW w:type="dxa" w:w="2409"/>
            <w:tcBorders>
              <w:top w:val="single" w:color="D0D8E4" w:sz="2"/>
              <w:left w:val="single" w:color="D0D8E4" w:sz="2"/>
              <w:bottom w:val="single" w:color="D0D8E4" w:sz="2"/>
              <w:right w:val="single" w:color="D0D8E4" w:sz="2"/>
            </w:tcBorders>
            <w:shd w:fill="F1F5F9" w:val="clear"/>
            <w:tcMar>
              <w:top w:type="dxa" w:w="80"/>
              <w:left w:type="dxa" w:w="140"/>
              <w:bottom w:type="dxa" w:w="80"/>
              <w:right w:type="dxa" w:w="140"/>
            </w:tcMar>
          </w:tcPr>
          <w:p>
            <w:pPr>
              <w:spacing w:after="40"/>
            </w:pPr>
            <w:r>
              <w:rPr>
                <w:rFonts w:ascii="Aptos" w:cs="Aptos" w:eastAsia="Aptos" w:hAnsi="Aptos"/>
                <w:b w:val="false"/>
                <w:bCs w:val="false"/>
                <w:caps/>
                <w:color w:val="5B6573"/>
                <w:sz w:val="16"/>
                <w:szCs w:val="16"/>
              </w:rPr>
              <w:t xml:space="preserve">BUYER INQUIRY REF *</w:t>
            </w:r>
          </w:p>
          <w:p>
            <w:r>
              <w:rPr>
                <w:rFonts w:ascii="Aptos" w:cs="Aptos" w:eastAsia="Aptos" w:hAnsi="Aptos"/>
                <w:b/>
                <w:bCs/>
                <w:color w:val="17233A"/>
                <w:sz w:val="20"/>
                <w:szCs w:val="20"/>
              </w:rPr>
              <w:t xml:space="preserve">[NC/SC/YYYY/DDMMNNN]</w:t>
            </w:r>
          </w:p>
        </w:tc>
      </w:tr>
    </w:tbl>
    <w:p>
      <w:pPr>
        <w:spacing w:after="20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shd w:fill="EAF3DE" w:val="clear"/>
            <w:tcMar>
              <w:top w:type="dxa" w:w="140"/>
              <w:left w:type="dxa" w:w="200"/>
              <w:bottom w:type="dxa" w:w="140"/>
              <w:right w:type="dxa" w:w="200"/>
            </w:tcMar>
          </w:tcPr>
          <w:p>
            <w:pPr>
              <w:spacing w:after="60"/>
              <w:jc w:val="center"/>
            </w:pPr>
            <w:r>
              <w:rPr>
                <w:rFonts w:ascii="Aptos" w:cs="Aptos" w:eastAsia="Aptos" w:hAnsi="Aptos"/>
                <w:b/>
                <w:bCs/>
                <w:color w:val="27500A"/>
                <w:sz w:val="26"/>
                <w:szCs w:val="26"/>
              </w:rPr>
              <w:t xml:space="preserve">✔  ORDER CONFIRMED</w:t>
            </w:r>
          </w:p>
          <w:p>
            <w:pPr>
              <w:jc w:val="center"/>
            </w:pPr>
            <w:r>
              <w:rPr>
                <w:rFonts w:ascii="Aptos" w:cs="Aptos" w:eastAsia="Aptos" w:hAnsi="Aptos"/>
                <w:i/>
                <w:iCs/>
                <w:color w:val="3B6D11"/>
                <w:sz w:val="19"/>
                <w:szCs w:val="19"/>
              </w:rPr>
              <w:t xml:space="preserve">This order is confirmed upon receipt and clearance of 40% Advance Payment payment against the referenced Proforma Invoice.</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1. SELLER / EXPORTER</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Company / Legal Entity</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NexaCrest International Private Limited</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Registered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No. 33, T Ramaiah Garden, 2 Hulimavu Village, Hulimavu,
Bangalore South, Bengaluru, Karnataka – 560076, India</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Corporate Office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Evolve Work Studio, 4th Floor, The Hub @ Raj Serenity,
Khatha No. 10, Begur Koppa Road, Yelenahalli,
Bengaluru – 560068, Karnataka,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GSTIN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29AAKCN8733G1ZZ</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IEC / PAN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AAKCN8733G</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Contact Person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sz w:val="19"/>
                <w:szCs w:val="19"/>
              </w:rPr>
              <w:t xml:space="preserve">Gulmohar Sontakke — Founder &amp; Managing Director</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Phone</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+91-7676463030</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Email</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gulmohar.sontakke@nexacrestinternational.com</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2.  BUYER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PI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Billing 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[buyer@email.com]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3.  CONSIGNEE DETAILS</w:t>
            </w:r>
          </w:p>
        </w:tc>
      </w:tr>
    </w:tbl>
    <w:p>
      <w:pPr>
        <w:spacing w:before="0" w:after="80"/>
      </w:pPr>
    </w:p>
    <w:tbl>
      <w:tblPr>
        <w:tblW w:w="9638" w:type="dxa"/>
        <w:tblBorders>
          <w:top w:val="single" w:color="D0D8E4" w:sz="2"/>
          <w:left w:val="single" w:color="D0D8E4" w:sz="2"/>
          <w:bottom w:val="single" w:color="D0D8E4" w:sz="2"/>
          <w:right w:val="single" w:color="D0D8E4" w:sz="2"/>
          <w:insideH w:val="single" w:color="D0D8E4" w:sz="2"/>
          <w:insideV w:val="single" w:color="D0D8E4" w:sz="2"/>
        </w:tblBorders>
      </w:tblPr>
      <w:tblGrid>
        <w:gridCol w:w="2880"/>
        <w:gridCol w:w="6758"/>
      </w:tblGrid>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Same as Buyer?</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If Consignee is same as Buyer — write SAME in Company Legal Name and leave all other fields blank.</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Company Legal Name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[Exact legal name — must match BL, CI, and PL exactly]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1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[Street number and street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Address Line 2</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[Area / district — if applicable]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City / Town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[City or town name]</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Postcode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[Postcode — required for customs]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Country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[destination country]</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VAT / EORI / Tax Ref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[local import registration ref  |  local VAT/tax ref  |  local org/tax ref]</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Contact Person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[Full name — consignee contact for shipping line and port queries]</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Phone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[+country code number]</w:t>
            </w:r>
          </w:p>
        </w:tc>
      </w:tr>
      <w:tr>
        <w:tc>
          <w:tcPr>
            <w:tcW w:w="2880" w:type="dxa"/>
            <w:shd w:val="clear" w:color="auto" w:fill="FFFFFF"/>
            <w:tcMar>
              <w:top w:w="60" w:type="dxa"/>
              <w:left w:w="120" w:type="dxa"/>
              <w:bottom w:w="60" w:type="dxa"/>
              <w:right w:w="120" w:type="dxa"/>
            </w:tcMar>
          </w:tcPr>
          <w:p>
            <w:pPr>
              <w:spacing w:before="0" w:after="0"/>
            </w:pPr>
            <w:r>
              <w:rPr>
                <w:rFonts w:ascii="Aptos" w:cs="Aptos" w:eastAsia="Aptos" w:hAnsi="Aptos"/>
                <w:b/>
                <w:bCs/>
                <w:sz w:val="18"/>
                <w:szCs w:val="18"/>
                <w:color w:val="17233A"/>
              </w:rPr>
              <w:t xml:space="preserve">Email * *</w:t>
            </w:r>
          </w:p>
        </w:tc>
        <w:tc>
          <w:tcPr>
            <w:tcW w:w="6758" w:type="dxa"/>
            <w:shd w:val="clear" w:color="auto" w:fill="FFFFFF"/>
            <w:tcMar>
              <w:top w:w="60" w:type="dxa"/>
              <w:left w:w="120" w:type="dxa"/>
              <w:bottom w:w="60" w:type="dxa"/>
              <w:right w:w="120" w:type="dxa"/>
            </w:tcMar>
          </w:tcPr>
          <w:p>
            <w:pPr>
              <w:spacing w:before="0" w:after="0"/>
            </w:pPr>
            <w:r>
              <w:rPr>
                <w:rFonts w:ascii="Aptos" w:cs="Aptos" w:eastAsia="Aptos" w:hAnsi="Aptos"/>
                <w:i/>
                <w:sz w:val="18"/>
                <w:szCs w:val="18"/>
                <w:color w:val="5B6573"/>
              </w:rPr>
              <w:t xml:space="preserve">[consignee@email.com]</w:t>
            </w:r>
          </w:p>
        </w:tc>
      </w:tr>
    </w:tbl>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4. ORDER SUMMARY</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[SC/QT/YYYY/DDMMNNN — the accepted quotation]</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Quotation Date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[DD Month YYYY]</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Proforma Invoice No.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[SC/PI/YYYY/DDMMNNN — must match PI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Product(s)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[As per referenced PI — e.g., Absolute Black Granite Memorial Monument, Mirror Polished — 420 m²]</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Total Order Value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[USD XXXXX.XX — must match PI Total exactly]</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Incoterm</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FOB Chennai, India — Incoterms® 2020</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Loading</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sz w:val="19"/>
                <w:szCs w:val="19"/>
              </w:rPr>
              <w:t xml:space="preserve">Chennai, India</w:t>
            </w:r>
          </w:p>
        </w:tc>
      </w:tr>
      <w:tr>
        <w:tc>
          <w:tcPr>
            <w:tcW w:type="dxa" w:w="2600"/>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Port of Discharge *</w:t>
            </w:r>
            <w:r>
              <w:rPr>
                <w:rFonts w:ascii="Aptos" w:cs="Aptos" w:eastAsia="Aptos" w:hAnsi="Aptos"/>
                <w:b/>
                <w:bCs/>
                <w:color w:val="C0392B"/>
                <w:sz w:val="20"/>
                <w:szCs w:val="20"/>
              </w:rPr>
              <w:t xml:space="preserve"> *</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[Must match PI — e.g., destination port / destination port]</w:t>
            </w:r>
          </w:p>
        </w:tc>
      </w:tr>
      <w:tr>
        <w:tc>
          <w:tcPr>
            <w:tcW w:type="dxa" w:w="2600"/>
            <w:tcBorders>
              <w:top w:val="single" w:color="D0D8E4" w:sz="2"/>
              <w:left w:val="single" w:color="D0D8E4" w:sz="2"/>
              <w:bottom w:val="single" w:color="D0D8E4" w:sz="2"/>
              <w:right w:val="single" w:color="D0D8E4" w:sz="2"/>
            </w:tcBorders>
            <w:shd w:fill="F1F5F9" w:val="clear"/>
            <w:tcMar>
              <w:top w:type="dxa" w:w="80"/>
              <w:left w:type="dxa" w:w="160"/>
              <w:bottom w:type="dxa" w:w="80"/>
              <w:right w:type="dxa" w:w="160"/>
            </w:tcMar>
          </w:tcPr>
          <w:p>
            <w:pPr>
              <w:spacing w:after="0"/>
            </w:pPr>
            <w:r>
              <w:rPr>
                <w:rFonts w:ascii="Aptos" w:cs="Aptos" w:eastAsia="Aptos" w:hAnsi="Aptos"/>
                <w:b/>
                <w:bCs/>
                <w:color w:val="17233A"/>
                <w:sz w:val="19"/>
                <w:szCs w:val="19"/>
              </w:rPr>
              <w:t xml:space="preserve">Certificate of Origin</w:t>
            </w:r>
          </w:p>
        </w:tc>
        <w:tc>
          <w:tcPr>
            <w:tcW w:type="dxa" w:w="7038"/>
            <w:tcBorders>
              <w:top w:val="single" w:color="D0D8E4" w:sz="2"/>
              <w:left w:val="single" w:color="D0D8E4" w:sz="2"/>
              <w:bottom w:val="single" w:color="D0D8E4" w:sz="2"/>
              <w:right w:val="single" w:color="D0D8E4" w:sz="2"/>
            </w:tcBorders>
            <w:shd w:fill="FFFFFF" w:val="clear"/>
            <w:tcMar>
              <w:top w:type="dxa" w:w="80"/>
              <w:left w:type="dxa" w:w="160"/>
              <w:bottom w:type="dxa" w:w="80"/>
              <w:right w:type="dxa" w:w="160"/>
            </w:tcMar>
          </w:tcPr>
          <w:p>
            <w:pPr>
              <w:spacing w:after="0"/>
            </w:pPr>
            <w:r>
              <w:rPr>
                <w:rFonts w:ascii="Aptos" w:cs="Aptos" w:eastAsia="Aptos" w:hAnsi="Aptos"/>
                <w:i/>
                <w:iCs/>
                <w:color w:val="5B6573"/>
                <w:sz w:val="19"/>
                <w:szCs w:val="19"/>
              </w:rPr>
              <w:t xml:space="preserve">[GSP Form A (preferential)  /  Non-preferential — as confirmed by buyer]</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5. PAYMENT STATUS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2600"/>
        <w:gridCol w:w="7038"/>
      </w:tblGrid>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40% Advance (USD)</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i/>
                <w:iCs/>
                <w:color w:val="5B6573"/>
                <w:sz w:val="19"/>
                <w:szCs w:val="19"/>
              </w:rPr>
              <w:t xml:space="preserve">[USD XXXXX.XX — amount received]</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Advance Payment Received On</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i/>
                <w:iCs/>
                <w:color w:val="5B6573"/>
                <w:sz w:val="19"/>
                <w:szCs w:val="19"/>
              </w:rPr>
              <w:t xml:space="preserve">[DD Month YYYY — date Advance Payment cleared in NexaCrest account]</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Balance Due (USD)</w:t>
            </w:r>
            <w:r>
              <w:rPr>
                <w:rFonts w:ascii="Aptos" w:cs="Aptos" w:eastAsia="Aptos" w:hAnsi="Aptos"/>
                <w:b/>
                <w:bCs/>
                <w:color w:val="C0392B"/>
                <w:sz w:val="19"/>
                <w:szCs w:val="19"/>
              </w:rPr>
              <w:t xml:space="preserve"> *</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r>
              <w:rPr>
                <w:rFonts w:ascii="Aptos" w:cs="Aptos" w:eastAsia="Aptos" w:hAnsi="Aptos"/>
                <w:i/>
                <w:iCs/>
                <w:color w:val="5B6573"/>
                <w:sz w:val="19"/>
                <w:szCs w:val="19"/>
              </w:rPr>
              <w:t xml:space="preserve">[USD XXXXX.XX  =  Total Order Value minus 40% advance received]</w:t>
            </w:r>
            <w:r>
              <w:rPr>
                <w:rFonts w:ascii="Aptos" w:cs="Aptos" w:eastAsia="Aptos" w:hAnsi="Aptos"/>
                <w:i/>
                <w:iCs/>
                <w:color w:val="5B6573"/>
                <w:sz w:val="18"/>
                <w:szCs w:val="18"/>
              </w:rPr>
              <w:t xml:space="preserve">  — payable by T/T against scanned copy of Bill of Lading, within 7 Calendar Days of the date NexaCrest emails the scanned BL copy</w:t>
            </w:r>
          </w:p>
        </w:tc>
      </w:tr>
      <w:tr>
        <w:tc>
          <w:tcPr>
            <w:tcW w:type="dxa" w:w="2600"/>
            <w:tcBorders>
              <w:top w:val="single" w:color="D0D8E4" w:sz="2"/>
              <w:left w:val="single" w:color="D0D8E4" w:sz="2"/>
              <w:bottom w:val="single" w:color="D0D8E4" w:sz="2"/>
              <w:right w:val="single" w:color="D0D8E4" w:sz="2"/>
            </w:tcBorders>
            <w:shd w:fill="F1F5F9" w:val="clear"/>
            <w:tcMar>
              <w:top w:type="dxa" w:w="90"/>
              <w:left w:type="dxa" w:w="160"/>
              <w:bottom w:type="dxa" w:w="90"/>
              <w:right w:type="dxa" w:w="160"/>
            </w:tcMar>
          </w:tcPr>
          <w:p>
            <w:r>
              <w:rPr>
                <w:rFonts w:ascii="Aptos" w:cs="Aptos" w:eastAsia="Aptos" w:hAnsi="Aptos"/>
                <w:b/>
                <w:bCs/>
                <w:color w:val="17233A"/>
                <w:sz w:val="19"/>
                <w:szCs w:val="19"/>
              </w:rPr>
              <w:t xml:space="preserve">Currency</w:t>
            </w:r>
          </w:p>
        </w:tc>
        <w:tc>
          <w:tcPr>
            <w:tcW w:type="dxa" w:w="7038"/>
            <w:tcBorders>
              <w:top w:val="single" w:color="D0D8E4" w:sz="2"/>
              <w:left w:val="single" w:color="D0D8E4" w:sz="2"/>
              <w:bottom w:val="single" w:color="D0D8E4" w:sz="2"/>
              <w:right w:val="single" w:color="D0D8E4" w:sz="2"/>
            </w:tcBorders>
            <w:tcMar>
              <w:top w:type="dxa" w:w="90"/>
              <w:left w:type="dxa" w:w="160"/>
              <w:bottom w:type="dxa" w:w="90"/>
              <w:right w:type="dxa" w:w="160"/>
            </w:tcMar>
          </w:tcPr>
          <w:p>
            <w:pPr>
              <w:spacing w:after="0"/>
            </w:pPr>
            <w:r>
              <w:rPr>
                <w:rFonts w:ascii="Aptos" w:cs="Aptos" w:eastAsia="Aptos" w:hAnsi="Aptos"/>
                <w:b/>
                <w:bCs/>
                <w:sz w:val="19"/>
                <w:szCs w:val="19"/>
              </w:rPr>
              <w:t xml:space="preserve">USD (always)</w:t>
            </w:r>
          </w:p>
        </w:tc>
      </w:tr>
      <w:tr>
        <w:tc>
          <w:tcPr>
            <w:tcW w:type="dxa" w:w="2600"/>
            <w:tcBorders>
              <w:top w:val="single" w:color="D0D8E4" w:sz="2"/>
              <w:left w:val="single" w:color="D0D8E4" w:sz="2"/>
              <w:bottom w:val="single" w:color="D0D8E4" w:sz="2"/>
              <w:right w:val="single" w:color="D0D8E4" w:sz="2"/>
            </w:tcBorders>
            <w:shd w:fill="FBEAEA" w:val="clear"/>
            <w:tcMar>
              <w:top w:type="dxa" w:w="90"/>
              <w:left w:type="dxa" w:w="160"/>
              <w:bottom w:type="dxa" w:w="90"/>
              <w:right w:type="dxa" w:w="160"/>
            </w:tcMar>
          </w:tcPr>
          <w:p>
            <w:r>
              <w:rPr>
                <w:rFonts w:ascii="Aptos" w:cs="Aptos" w:eastAsia="Aptos" w:hAnsi="Aptos"/>
                <w:b/>
                <w:bCs/>
                <w:color w:val="8A1F1F"/>
                <w:sz w:val="19"/>
                <w:szCs w:val="19"/>
              </w:rPr>
              <w:t xml:space="preserve">CFR / CIF Freight</w:t>
            </w:r>
            <w:r>
              <w:rPr>
                <w:rFonts w:ascii="Aptos" w:cs="Aptos" w:eastAsia="Aptos" w:hAnsi="Aptos"/>
                <w:i/>
                <w:iCs/>
                <w:color w:val="8A1F1F"/>
                <w:sz w:val="18"/>
                <w:szCs w:val="18"/>
              </w:rPr>
              <w:t xml:space="preserve"> (if applicable)</w:t>
            </w:r>
          </w:p>
        </w:tc>
        <w:tc>
          <w:tcPr>
            <w:tcW w:type="dxa" w:w="7038"/>
            <w:tcBorders>
              <w:top w:val="single" w:color="D0D8E4" w:sz="2"/>
              <w:left w:val="single" w:color="D0D8E4" w:sz="2"/>
              <w:bottom w:val="single" w:color="D0D8E4" w:sz="2"/>
              <w:right w:val="single" w:color="D0D8E4" w:sz="2"/>
            </w:tcBorders>
            <w:shd w:fill="FBEAEA" w:val="clear"/>
            <w:tcMar>
              <w:top w:type="dxa" w:w="90"/>
              <w:left w:type="dxa" w:w="160"/>
              <w:bottom w:type="dxa" w:w="90"/>
              <w:right w:type="dxa" w:w="160"/>
            </w:tcMar>
          </w:tcPr>
          <w:p>
            <w:r>
              <w:rPr>
                <w:rFonts w:ascii="Aptos" w:cs="Aptos" w:eastAsia="Aptos" w:hAnsi="Aptos"/>
                <w:color w:val="5A1414"/>
                <w:sz w:val="18"/>
                <w:szCs w:val="18"/>
              </w:rPr>
              <w:t xml:space="preserve">A Debit Note will be raised when cargo is packed and ready, stating the actual confirmed freight amount. </w:t>
            </w:r>
            <w:r>
              <w:rPr>
                <w:rFonts w:ascii="Aptos" w:cs="Aptos" w:eastAsia="Aptos" w:hAnsi="Aptos"/>
                <w:b/>
                <w:bCs/>
                <w:color w:val="8A1F1F"/>
                <w:sz w:val="18"/>
                <w:szCs w:val="18"/>
              </w:rPr>
              <w:t xml:space="preserve">Payment required within 3 Calendar Days of the Debit Note date. NexaCrest will confirm shipment booking and hand over cargo to the shipping line only upon receipt of full freight payment.</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6. PRODUCTION &amp; ESTIMATED SHIPMENT</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shd w:fill="F1F5F9" w:val="clear"/>
            <w:tcMar>
              <w:top w:type="dxa" w:w="140"/>
              <w:left w:type="dxa" w:w="200"/>
              <w:bottom w:type="dxa" w:w="140"/>
              <w:right w:type="dxa" w:w="200"/>
            </w:tcMar>
          </w:tcPr>
          <w:p>
            <w:pPr>
              <w:spacing w:after="100"/>
            </w:pPr>
            <w:r>
              <w:rPr>
                <w:rFonts w:ascii="Aptos" w:cs="Aptos" w:eastAsia="Aptos" w:hAnsi="Aptos"/>
                <w:b/>
                <w:bCs/>
                <w:color w:val="17233A"/>
                <w:sz w:val="19"/>
                <w:szCs w:val="19"/>
              </w:rPr>
              <w:t xml:space="preserve">Production status: </w:t>
            </w:r>
            <w:r>
              <w:rPr>
                <w:rFonts w:ascii="Aptos" w:cs="Aptos" w:eastAsia="Aptos" w:hAnsi="Aptos"/>
                <w:sz w:val="19"/>
                <w:szCs w:val="19"/>
              </w:rPr>
              <w:t xml:space="preserve">Commenced — advance Remittance Copy received and confirmed.</w:t>
            </w:r>
          </w:p>
          <w:p>
            <w:pPr>
              <w:spacing w:after="100"/>
            </w:pPr>
            <w:r>
              <w:rPr>
                <w:rFonts w:ascii="Aptos" w:cs="Aptos" w:eastAsia="Aptos" w:hAnsi="Aptos"/>
                <w:b/>
                <w:bCs/>
                <w:color w:val="17233A"/>
                <w:sz w:val="19"/>
                <w:szCs w:val="19"/>
              </w:rPr>
              <w:t xml:space="preserve">Estimated shipment: </w:t>
            </w:r>
            <w:r>
              <w:rPr>
                <w:rFonts w:ascii="Aptos" w:cs="Aptos" w:eastAsia="Aptos" w:hAnsi="Aptos"/>
                <w:i/>
                <w:iCs/>
                <w:color w:val="5B6573"/>
                <w:sz w:val="19"/>
                <w:szCs w:val="19"/>
              </w:rPr>
              <w:t xml:space="preserve">[e.g., within 4–6 weeks from [advance payment clearance date]]</w:t>
            </w:r>
            <w:r>
              <w:rPr>
                <w:rFonts w:ascii="Aptos" w:cs="Aptos" w:eastAsia="Aptos" w:hAnsi="Aptos"/>
                <w:b/>
                <w:bCs/>
                <w:color w:val="C0392B"/>
                <w:sz w:val="19"/>
                <w:szCs w:val="19"/>
              </w:rPr>
              <w:t xml:space="preserve">  *</w:t>
            </w:r>
          </w:p>
          <w:p>
            <w:pPr>
              <w:spacing w:after="0"/>
            </w:pPr>
            <w:r>
              <w:rPr>
                <w:rFonts w:ascii="Aptos" w:cs="Aptos" w:eastAsia="Aptos" w:hAnsi="Aptos"/>
                <w:b/>
                <w:bCs/>
                <w:color w:val="17233A"/>
                <w:sz w:val="18"/>
                <w:szCs w:val="18"/>
              </w:rPr>
              <w:t xml:space="preserve">Note: </w:t>
            </w:r>
            <w:r>
              <w:rPr>
                <w:rFonts w:ascii="Aptos" w:cs="Aptos" w:eastAsia="Aptos" w:hAnsi="Aptos"/>
                <w:i/>
                <w:iCs/>
                <w:color w:val="5B6573"/>
                <w:sz w:val="18"/>
                <w:szCs w:val="18"/>
              </w:rPr>
              <w:t xml:space="preserve">Estimated shipment date is indicative and subject to production completion, packing, and port scheduling. A confirmed Bill of Lading date will be communicated once the shipment is booked.</w:t>
            </w:r>
          </w:p>
        </w:tc>
      </w:tr>
    </w:tbl>
    <w:p>
      <w:pPr>
        <w:spacing w:after="22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7. DOCUMENTS TO BE PROVIDED</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20"/>
              <w:left w:type="dxa" w:w="200"/>
              <w:bottom w:type="dxa" w:w="120"/>
              <w:right w:type="dxa" w:w="200"/>
            </w:tcMar>
          </w:tcPr>
          <w:p>
            <w:pPr>
              <w:spacing w:after="80"/>
            </w:pPr>
            <w:r>
              <w:rPr>
                <w:rFonts w:ascii="Aptos" w:cs="Aptos" w:eastAsia="Aptos" w:hAnsi="Aptos"/>
                <w:b/>
                <w:bCs/>
                <w:sz w:val="19"/>
                <w:szCs w:val="19"/>
              </w:rPr>
              <w:t xml:space="preserve">Upon shipment, the following documents will be provided:  </w:t>
            </w:r>
          </w:p>
          <w:p>
            <w:pPr>
              <w:spacing w:after="60"/>
            </w:pPr>
            <w:r>
              <w:rPr>
                <w:rFonts w:ascii="Aptos" w:cs="Aptos" w:eastAsia="Aptos" w:hAnsi="Aptos"/>
                <w:sz w:val="19"/>
                <w:szCs w:val="19"/>
              </w:rPr>
              <w:t xml:space="preserve">• Commercial Invoice</w:t>
            </w:r>
          </w:p>
          <w:p>
            <w:pPr>
              <w:spacing w:after="60"/>
            </w:pPr>
            <w:r>
              <w:rPr>
                <w:rFonts w:ascii="Aptos" w:cs="Aptos" w:eastAsia="Aptos" w:hAnsi="Aptos"/>
                <w:sz w:val="19"/>
                <w:szCs w:val="19"/>
              </w:rPr>
              <w:t xml:space="preserve">• Packing List</w:t>
            </w:r>
          </w:p>
          <w:p>
            <w:pPr>
              <w:spacing w:after="60"/>
            </w:pPr>
            <w:r>
              <w:rPr>
                <w:rFonts w:ascii="Aptos" w:cs="Aptos" w:eastAsia="Aptos" w:hAnsi="Aptos"/>
                <w:sz w:val="19"/>
                <w:szCs w:val="19"/>
              </w:rPr>
              <w:t xml:space="preserve">• Certificate of Origin (CAPEXIL / Chamber of Commerce)</w:t>
            </w:r>
          </w:p>
          <w:p>
            <w:pPr>
              <w:spacing w:after="60"/>
            </w:pPr>
            <w:r>
              <w:rPr>
                <w:rFonts w:ascii="Aptos" w:cs="Aptos" w:eastAsia="Aptos" w:hAnsi="Aptos"/>
                <w:sz w:val="19"/>
                <w:szCs w:val="19"/>
              </w:rPr>
              <w:t xml:space="preserve">• Bill of Lading</w:t>
            </w:r>
          </w:p>
          <w:p>
            <w:r>
              <w:rPr>
                <w:rFonts w:ascii="Aptos" w:cs="Aptos" w:eastAsia="Aptos" w:hAnsi="Aptos"/>
                <w:sz w:val="19"/>
                <w:szCs w:val="19"/>
              </w:rPr>
              <w:t xml:space="preserve">• Fumigation Certificate — provided as standard with every shipment</w:t>
            </w:r>
          </w:p>
        </w:tc>
      </w:tr>
    </w:tbl>
    <w:p>
      <w:pPr>
        <w:spacing w:after="3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8. ORDER CONDITIONS</w:t>
            </w:r>
          </w:p>
        </w:tc>
      </w:tr>
    </w:tbl>
    <w:p>
      <w:pPr>
        <w:spacing w:after="80" w:before="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9638"/>
      </w:tblGrid>
      <w:tr>
        <w:tc>
          <w:tcPr>
            <w:tcW w:type="dxa" w:w="9638"/>
            <w:tcBorders>
              <w:top w:val="single" w:color="D0D8E4" w:sz="2"/>
              <w:left w:val="single" w:color="D0D8E4" w:sz="2"/>
              <w:bottom w:val="single" w:color="D0D8E4" w:sz="2"/>
              <w:right w:val="single" w:color="D0D8E4" w:sz="2"/>
            </w:tcBorders>
            <w:tcMar>
              <w:top w:type="dxa" w:w="100"/>
              <w:left w:type="dxa" w:w="180"/>
              <w:bottom w:type="dxa" w:w="100"/>
              <w:right w:type="dxa" w:w="180"/>
            </w:tcMar>
          </w:tcPr>
          <w:p>
            <w:pPr>
              <w:spacing w:after="80"/>
            </w:pPr>
            <w:r>
              <w:rPr>
                <w:rFonts w:ascii="Aptos" w:cs="Aptos" w:eastAsia="Aptos" w:hAnsi="Aptos"/>
                <w:sz w:val="18"/>
                <w:szCs w:val="18"/>
              </w:rPr>
              <w:t xml:space="preserve">• This Order Confirmation is subject to the commercial terms of the referenced Proforma Invoice.</w:t>
            </w:r>
          </w:p>
          <w:p>
            <w:pPr>
              <w:spacing w:after="80"/>
            </w:pPr>
            <w:r>
              <w:rPr>
                <w:rFonts w:ascii="Aptos" w:cs="Aptos" w:eastAsia="Aptos" w:hAnsi="Aptos"/>
                <w:b/>
                <w:bCs/>
                <w:sz w:val="18"/>
                <w:szCs w:val="18"/>
              </w:rPr>
              <w:t xml:space="preserve">• Natural Stone Characteristics: </w:t>
            </w:r>
            <w:r>
              <w:rPr>
                <w:rFonts w:ascii="Aptos" w:cs="Aptos" w:eastAsia="Aptos" w:hAnsi="Aptos"/>
                <w:sz w:val="18"/>
                <w:szCs w:val="18"/>
              </w:rPr>
              <w:t xml:space="preserve">All granite supplied is Grade A quality, selected for colour consistency. As with all natural stone, minor variation in shade, grain and veining may occur between pieces — however, Natural variation inherent to natural stone including colour, veining, and texture is not a defect. Any claim of colour non-conformance must be assessed against the agreed pre-shipment sample approved by the Buyer in writing prior to Loading. In the absence of an approved pre-shipment sample, the Buyer accepts all colour variation inherent to natural stone.. Products will conform to the agreed specification.</w:t>
            </w:r>
          </w:p>
          <w:p>
            <w:pPr>
              <w:spacing w:after="80"/>
            </w:pPr>
            <w:r>
              <w:rPr>
                <w:rFonts w:ascii="Aptos" w:cs="Aptos" w:eastAsia="Aptos" w:hAnsi="Aptos"/>
                <w:b/>
                <w:bCs/>
                <w:sz w:val="18"/>
                <w:szCs w:val="18"/>
              </w:rPr>
              <w:t xml:space="preserve">• Quantity Tolerance: </w:t>
            </w:r>
            <w:r>
              <w:rPr>
                <w:rFonts w:ascii="Aptos" w:cs="Aptos" w:eastAsia="Aptos" w:hAnsi="Aptos"/>
                <w:sz w:val="18"/>
                <w:szCs w:val="18"/>
              </w:rPr>
              <w:t xml:space="preserve">Actual quantity shipped will not exceed the ordered quantity. A shortfall of up to 5% may occur and will be invoiced at actual quantity shipped. A shortfall exceeding 5% requires buyer’s written approval before shipment.</w:t>
            </w:r>
          </w:p>
          <w:p>
            <w:pPr>
              <w:spacing w:after="80"/>
            </w:pPr>
            <w:r>
              <w:rPr>
                <w:rFonts w:ascii="Aptos" w:cs="Aptos" w:eastAsia="Aptos" w:hAnsi="Aptos"/>
                <w:b/>
                <w:bCs/>
                <w:sz w:val="18"/>
                <w:szCs w:val="18"/>
              </w:rPr>
              <w:t xml:space="preserve">• Partial Shipment: </w:t>
            </w:r>
            <w:r>
              <w:rPr>
                <w:rFonts w:ascii="Aptos" w:cs="Aptos" w:eastAsia="Aptos" w:hAnsi="Aptos"/>
                <w:sz w:val="18"/>
                <w:szCs w:val="18"/>
              </w:rPr>
              <w:t xml:space="preserve">Not permitted. NexaCrest ships complete orders only — minimum one full FCL. Mixed-product containers are permitted.</w:t>
            </w:r>
          </w:p>
          <w:p>
            <w:r>
              <w:rPr>
                <w:rFonts w:ascii="Aptos" w:cs="Aptos" w:eastAsia="Aptos" w:hAnsi="Aptos"/>
                <w:b/>
                <w:bCs/>
                <w:sz w:val="18"/>
                <w:szCs w:val="18"/>
              </w:rPr>
              <w:t xml:space="preserve">• Bill of Lading: </w:t>
            </w:r>
            <w:r>
              <w:rPr>
                <w:rFonts w:ascii="Aptos" w:cs="Aptos" w:eastAsia="Aptos" w:hAnsi="Aptos"/>
                <w:sz w:val="18"/>
                <w:szCs w:val="18"/>
              </w:rPr>
              <w:t xml:space="preserve">Original negotiable BL (3 originals) will be released to buyer only after Balance Payment is confirmed as Payment Cleared in NexaCrest’s bank account. Remittance copy alone does not constitute Remittance Copy. Please allow 1–2 banking days for clearance confirmation before expecting BL originals to be released.</w:t>
            </w:r>
          </w:p>
        </w:tc>
      </w:tr>
    </w:tbl>
    <w:p>
      <w:pPr>
        <w:spacing w:after="200" w:before="0"/>
      </w:pPr>
    </w:p>
    <w:p>
      <w:pPr>
        <w:spacing w:before="0"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7233A" w:val="clear"/>
            <w:tcMar>
              <w:top w:type="dxa" w:w="100"/>
              <w:left w:type="dxa" w:w="200"/>
              <w:bottom w:type="dxa" w:w="100"/>
              <w:right w:type="dxa" w:w="200"/>
            </w:tcMar>
          </w:tcPr>
          <w:p>
            <w:r>
              <w:rPr>
                <w:rFonts w:ascii="Aptos" w:cs="Aptos" w:eastAsia="Aptos" w:hAnsi="Aptos"/>
                <w:b/>
                <w:bCs/>
                <w:color w:val="FFFFFF"/>
                <w:sz w:val="22"/>
                <w:szCs w:val="22"/>
              </w:rPr>
              <w:t xml:space="preserve">9.  LEGAL TERMS &amp; DEFINITIONS</w:t>
            </w:r>
          </w:p>
        </w:tc>
      </w:tr>
    </w:tbl>
    <w:p>
      <w:pPr>
        <w:spacing w:before="0" w:after="80"/>
      </w:pPr>
    </w:p>
    <w:tbl>
      <w:tblPr>
        <w:tblW w:w="9638" w:type="dxa"/>
        <w:tblBorders>
          <w:top w:val="single" w:color="C0392B" w:sz="4"/>
          <w:left w:val="single" w:color="C0392B" w:sz="4"/>
          <w:bottom w:val="single" w:color="C0392B" w:sz="4"/>
          <w:right w:val="single" w:color="C0392B"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FF0F0"/>
            </w:pPr>
            <w:r>
              <w:rPr>
                <w:rFonts w:ascii="Aptos" w:cs="Aptos" w:eastAsia="Aptos" w:hAnsi="Aptos"/>
                <w:b/>
                <w:bCs/>
                <w:sz w:val="20"/>
                <w:szCs w:val="20"/>
                <w:color w:val="17233A"/>
              </w:rPr>
              <w:t>LEGAL TERMS</w:t>
            </w:r>
          </w:p>
          <w:p>
            <w:pPr>
              <w:spacing w:before="60" w:after="40"/>
              <w:ind w:left="180" w:right="180"/>
            </w:pPr>
            <w:r>
              <w:rPr>
                <w:rFonts w:ascii="Aptos" w:cs="Aptos" w:eastAsia="Aptos" w:hAnsi="Aptos"/>
                <w:i/>
                <w:sz w:val="17"/>
                <w:szCs w:val="17"/>
                <w:color w:val="5B6573"/>
              </w:rPr>
              <w:t xml:space="preserve">These terms govern all commercial obligations under this document.</w:t>
            </w:r>
          </w:p>
          <w:p>
            <w:pPr>
              <w:spacing w:before="40" w:after="40"/>
              <w:ind w:left="180" w:right="180"/>
            </w:pPr>
            <w:r>
              <w:rPr>
                <w:rFonts w:ascii="Aptos" w:cs="Aptos" w:eastAsia="Aptos" w:hAnsi="Aptos"/>
                <w:sz w:val="18"/>
                <w:szCs w:val="18"/>
                <w:color w:val="17233A"/>
                <w:b/>
                <w:bCs/>
              </w:rPr>
              <w:t xml:space="preserve">• Cancellation: </w:t>
            </w:r>
            <w:r>
              <w:rPr>
                <w:rFonts w:ascii="Aptos" w:cs="Aptos" w:eastAsia="Aptos" w:hAnsi="Aptos"/>
                <w:sz w:val="18"/>
                <w:szCs w:val="18"/>
                <w:color w:val="000000"/>
              </w:rPr>
              <w:t xml:space="preserve">Orders may not be cancelled after production commences. The Advance Payment is non-refundable once production commences. In the event of cancellation after production commences, NexaCrest's total recovery shall not exceed the Advance Payment plus 20% of the total FOB Order value. The parties agree this represents a genuine pre-estimate of NexaCrest's unrecoverable production costs, overhead, opportunity loss, and market price risk.</w:t>
            </w:r>
          </w:p>
          <w:p>
            <w:pPr>
              <w:spacing w:before="40" w:after="40"/>
              <w:ind w:left="180" w:right="180"/>
            </w:pPr>
            <w:r>
              <w:rPr>
                <w:rFonts w:ascii="Aptos" w:cs="Aptos" w:eastAsia="Aptos" w:hAnsi="Aptos"/>
                <w:sz w:val="18"/>
                <w:szCs w:val="18"/>
                <w:color w:val="17233A"/>
                <w:b/>
                <w:bCs/>
              </w:rPr>
              <w:t xml:space="preserve">• Limitation of Liability: </w:t>
            </w:r>
            <w:r>
              <w:rPr>
                <w:rFonts w:ascii="Aptos" w:cs="Aptos" w:eastAsia="Aptos" w:hAnsi="Aptos"/>
                <w:sz w:val="18"/>
                <w:szCs w:val="18"/>
                <w:color w:val="000000"/>
              </w:rPr>
              <w:t xml:space="preserve">NexaCrest's maximum liability under this document shall not exceed the total FOB Order value stated herein. NexaCrest is not liable for any indirect, consequential, or punitive damages, or for loss of profit or business.</w:t>
            </w:r>
          </w:p>
          <w:p>
            <w:pPr>
              <w:pStyle w:val="Normal"/>
              <w:spacing w:before="0" w:after="60"/>
            </w:pPr>
            <w:r>
              <w:rPr>
                <w:rFonts w:ascii="Aptos" w:cs="Aptos" w:eastAsia="Aptos" w:hAnsi="Aptos"/>
                <w:sz w:val="18"/>
                <w:szCs w:val="18"/>
                <w:color w:val="17233A"/>
                <w:b/>
                <w:bCs/>
              </w:rPr>
              <w:t xml:space="preserve">• Bill of Lading Policy: </w:t>
            </w:r>
            <w:r>
              <w:rPr>
                <w:rFonts w:ascii="Aptos" w:cs="Aptos" w:eastAsia="Aptos" w:hAnsi="Aptos"/>
                <w:sz w:val="18"/>
                <w:szCs w:val="18"/>
                <w:color w:val="000000"/>
              </w:rPr>
              <w:t xml:space="preserve">NexaCrest issues all shipments with the Bill of Lading consigned “To Order of NexaCrest International Private Limited”. This is NexaCrest company policy and cannot be changed under any circumstances. Original BLs are released to the Buyer only after Balance Payment is confirmed as Payment Cleared in NexaCrest’s designated bank account.</w:t>
            </w:r>
          </w:p>
          <w:p>
            <w:pPr>
              <w:spacing w:before="40" w:after="40"/>
              <w:ind w:left="180" w:right="180"/>
            </w:pPr>
            <w:r>
              <w:rPr>
                <w:rFonts w:ascii="Aptos" w:cs="Aptos" w:eastAsia="Aptos" w:hAnsi="Aptos"/>
                <w:sz w:val="18"/>
                <w:szCs w:val="18"/>
                <w:color w:val="17233A"/>
                <w:b/>
                <w:bCs/>
              </w:rPr>
              <w:t xml:space="preserve">• Production Timeline: </w:t>
            </w:r>
            <w:r>
              <w:rPr>
                <w:rFonts w:ascii="Aptos" w:cs="Aptos" w:eastAsia="Aptos" w:hAnsi="Aptos"/>
                <w:sz w:val="18"/>
                <w:szCs w:val="18"/>
                <w:color w:val="000000"/>
              </w:rPr>
              <w:t xml:space="preserve">The estimated shipment timeline stated in this document is indicative only and does not constitute a guaranteed delivery date. NexaCrest will make every effort to meet the estimated timeline. NexaCrest will notify the Buyer in writing within 5 Business Days of becoming aware of any delay to production or shipment, and will provide a revised estimated timeline within 10 Business Days of such notification.</w:t>
            </w:r>
            <w:r>
              <w:rPr>
                <w:rFonts w:ascii="Aptos" w:cs="Aptos" w:eastAsia="Aptos" w:hAnsi="Aptos"/>
                <w:sz w:val="18"/>
                <w:szCs w:val="18"/>
                <w:color w:val="000000"/>
              </w:rPr>
              <w:t xml:space="preserve"/>
            </w:r>
          </w:p>
          <w:p>
            <w:pPr>
              <w:spacing w:before="40" w:after="40"/>
              <w:ind w:left="180" w:right="180"/>
            </w:pPr>
            <w:r>
              <w:rPr>
                <w:rFonts w:ascii="Aptos" w:cs="Aptos" w:eastAsia="Aptos" w:hAnsi="Aptos"/>
                <w:sz w:val="18"/>
                <w:szCs w:val="18"/>
                <w:color w:val="17233A"/>
                <w:b/>
                <w:bCs/>
              </w:rPr>
              <w:t xml:space="preserve">• Re-inspection and Loading: </w:t>
            </w:r>
            <w:r>
              <w:rPr>
                <w:rFonts w:ascii="Aptos" w:cs="Aptos" w:eastAsia="Aptos" w:hAnsi="Aptos"/>
                <w:sz w:val="18"/>
                <w:szCs w:val="18"/>
                <w:color w:val="000000"/>
              </w:rPr>
              <w:t xml:space="preserve">NexaCrest shall load only the confirmed passed pieces. Confirmed failed pieces shall be excluded from the shipment. The Commercial Invoice and all payment obligations shall be adjusted to reflect only the pieces actually loaded and shipped. Neither Party shall have any further claim in respect of the excluded pieces.</w:t>
            </w:r>
          </w:p>
          <w:p>
            <w:pPr>
              <w:spacing w:before="40" w:after="40"/>
              <w:ind w:left="180" w:right="180"/>
            </w:pPr>
            <w:r>
              <w:rPr>
                <w:rFonts w:ascii="Aptos" w:cs="Aptos" w:eastAsia="Aptos" w:hAnsi="Aptos"/>
                <w:sz w:val="18"/>
                <w:szCs w:val="18"/>
                <w:color w:val="17233A"/>
                <w:b/>
                <w:bCs/>
              </w:rPr>
              <w:t xml:space="preserve">• Structural Defect Claims: </w:t>
            </w:r>
            <w:r>
              <w:rPr>
                <w:rFonts w:ascii="Aptos" w:cs="Aptos" w:eastAsia="Aptos" w:hAnsi="Aptos"/>
                <w:sz w:val="18"/>
                <w:szCs w:val="18"/>
                <w:color w:val="000000"/>
              </w:rPr>
              <w:t xml:space="preserve">NexaCrest confirms to the best of its knowledge that Products are free from structural defects present at Loading and not detectable at Pre-loading Inspection. No claim accepted for: (a) conditions detectable at Pre-loading Inspection; (b) damage from Buyer's processing, cutting, handling, or installation; or (c) natural stone characteristics. Any claim must be raised by the Buyer in writing with photographic evidence within 14 Calendar Days of confirmed receipt at Buyer's premises. No claim accepted after this period.</w:t>
            </w:r>
          </w:p>
          <w:p>
            <w:pPr>
              <w:spacing w:before="40" w:after="40"/>
              <w:ind w:left="180" w:right="180"/>
            </w:pPr>
            <w:r>
              <w:rPr>
                <w:rFonts w:ascii="Aptos" w:cs="Aptos" w:eastAsia="Aptos" w:hAnsi="Aptos"/>
                <w:sz w:val="18"/>
                <w:szCs w:val="18"/>
                <w:color w:val="17233A"/>
                <w:b/>
                <w:bCs/>
              </w:rPr>
              <w:t xml:space="preserve">• Governing Law and Dispute Resolution: </w:t>
            </w:r>
            <w:r>
              <w:rPr>
                <w:rFonts w:ascii="Aptos" w:cs="Aptos" w:eastAsia="Aptos" w:hAnsi="Aptos"/>
                <w:sz w:val="18"/>
                <w:szCs w:val="18"/>
                <w:color w:val="000000"/>
              </w:rPr>
              <w:t xml:space="preserve">This document is governed by the laws of India. Any dispute shall first be notified in writing by email or WhatsApp. Both parties shall attempt amicable resolution within 45 Calendar Days of written notice. If unresolved, the dispute shall be referred to binding arbitration under the Arbitration and Conciliation Act, 1996. Seat: Bengaluru, Karnataka, India. Language: English. The United Nations Convention on Contracts for the International Sale of Goods is expressly excluded from this Agreement.</w:t>
            </w:r>
          </w:p>
        </w:tc>
      </w:tr>
    </w:tbl>
    <w:p>
      <w:pPr>
        <w:spacing w:before="0" w:after="40"/>
      </w:pPr>
    </w:p>
    <w:tbl>
      <w:tblPr>
        <w:tblW w:w="9638" w:type="dxa"/>
        <w:tblBorders>
          <w:top w:val="single" w:color="1A5276" w:sz="4"/>
          <w:left w:val="single" w:color="1A5276" w:sz="4"/>
          <w:bottom w:val="single" w:color="1A5276" w:sz="4"/>
          <w:right w:val="single" w:color="1A5276" w:sz="4"/>
          <w:insideH w:val="none" w:sz="0" w:color="auto"/>
          <w:insideV w:val="none" w:sz="0" w:color="auto"/>
        </w:tblBorders>
        <w:tblLook w:val="0000" w:firstRow="0" w:lastRow="0" w:firstColumn="0" w:lastColumn="0" w:noHBand="0" w:noVBand="0"/>
      </w:tblPr>
      <w:tblGrid>
        <w:gridCol w:w="9638"/>
      </w:tblGrid>
      <w:tr>
        <w:tc>
          <w:tcPr>
            <w:tcW w:w="9638" w:type="dxa"/>
            <w:shd w:val="clear" w:color="auto" w:fill="FFFFFF"/>
            <w:tcMar>
              <w:top w:w="0" w:type="dxa"/>
              <w:left w:w="0" w:type="dxa"/>
              <w:bottom w:w="80" w:type="dxa"/>
              <w:right w:w="0" w:type="dxa"/>
            </w:tcMar>
          </w:tcPr>
          <w:p>
            <w:pPr>
              <w:spacing w:before="80" w:after="80"/>
              <w:ind w:left="180" w:right="180"/>
              <w:shd w:val="clear" w:color="auto" w:fill="F0F4FF"/>
            </w:pPr>
            <w:r>
              <w:rPr>
                <w:rFonts w:ascii="Aptos" w:cs="Aptos" w:eastAsia="Aptos" w:hAnsi="Aptos"/>
                <w:b/>
                <w:bCs/>
                <w:sz w:val="20"/>
                <w:szCs w:val="20"/>
                <w:color w:val="17233A"/>
              </w:rPr>
              <w:t>DEFINITIONS</w:t>
            </w:r>
          </w:p>
          <w:p>
            <w:pPr>
              <w:spacing w:before="60" w:after="40"/>
              <w:ind w:left="180" w:right="180"/>
            </w:pPr>
            <w:r>
              <w:rPr>
                <w:rFonts w:ascii="Aptos" w:cs="Aptos" w:eastAsia="Aptos" w:hAnsi="Aptos"/>
                <w:i/>
                <w:sz w:val="17"/>
                <w:szCs w:val="17"/>
                <w:color w:val="5B6573"/>
              </w:rPr>
              <w:t xml:space="preserve">The following terms have the meanings given below wherever they appear in this document.</w:t>
            </w:r>
          </w:p>
          <w:p>
            <w:pPr>
              <w:spacing w:before="40" w:after="40"/>
              <w:ind w:left="180" w:right="180"/>
            </w:pPr>
            <w:r>
              <w:rPr>
                <w:rFonts w:ascii="Aptos" w:cs="Aptos" w:eastAsia="Aptos" w:hAnsi="Aptos"/>
                <w:sz w:val="18"/>
                <w:szCs w:val="18"/>
                <w:color w:val="17233A"/>
                <w:b/>
                <w:bCs/>
              </w:rPr>
              <w:t xml:space="preserve">• NexaCrest: </w:t>
            </w:r>
            <w:r>
              <w:rPr>
                <w:rFonts w:ascii="Aptos" w:cs="Aptos" w:eastAsia="Aptos" w:hAnsi="Aptos"/>
                <w:sz w:val="18"/>
                <w:szCs w:val="18"/>
                <w:color w:val="000000"/>
              </w:rPr>
              <w:t xml:space="preserve">In this document, "NexaCrest International Private Limited" is referred to as "NexaCrest". Both names refer to the same legal entity.</w:t>
            </w:r>
          </w:p>
          <w:p>
            <w:pPr>
              <w:spacing w:before="40" w:after="40"/>
              <w:ind w:left="180" w:right="180"/>
            </w:pPr>
            <w:r>
              <w:rPr>
                <w:rFonts w:ascii="Aptos" w:cs="Aptos" w:eastAsia="Aptos" w:hAnsi="Aptos"/>
                <w:sz w:val="18"/>
                <w:szCs w:val="18"/>
                <w:color w:val="17233A"/>
                <w:b/>
                <w:bCs/>
              </w:rPr>
              <w:t xml:space="preserve">• T/T (Telegraphic Transfer): </w:t>
            </w:r>
            <w:r>
              <w:rPr>
                <w:rFonts w:ascii="Aptos" w:cs="Aptos" w:eastAsia="Aptos" w:hAnsi="Aptos"/>
                <w:sz w:val="18"/>
                <w:szCs w:val="18"/>
                <w:color w:val="000000"/>
              </w:rPr>
              <w:t xml:space="preserve">an electronic bank wire transfer sent directly from the Buyer's bank to NexaCrest's designated bank account at State Bank of India as stated in this document.</w:t>
            </w:r>
          </w:p>
          <w:p>
            <w:pPr>
              <w:spacing w:before="40" w:after="40"/>
              <w:ind w:left="180" w:right="180"/>
            </w:pPr>
            <w:r>
              <w:rPr>
                <w:rFonts w:ascii="Aptos" w:cs="Aptos" w:eastAsia="Aptos" w:hAnsi="Aptos"/>
                <w:sz w:val="18"/>
                <w:szCs w:val="18"/>
                <w:color w:val="17233A"/>
                <w:b/>
                <w:bCs/>
              </w:rPr>
              <w:t xml:space="preserve">• Payment Cleared: </w:t>
            </w:r>
            <w:r>
              <w:rPr>
                <w:rFonts w:ascii="Aptos" w:cs="Aptos" w:eastAsia="Aptos" w:hAnsi="Aptos"/>
                <w:sz w:val="18"/>
                <w:szCs w:val="18"/>
                <w:color w:val="000000"/>
              </w:rPr>
              <w:t xml:space="preserve">the relevant payment confirmed as actually credited to NexaCrest's bank account by NexaCrest's accounts team. A Remittance Copy alone does not constitute Payment Cleared.</w:t>
            </w:r>
          </w:p>
          <w:p>
            <w:pPr>
              <w:spacing w:before="40" w:after="40"/>
              <w:ind w:left="180" w:right="180"/>
            </w:pPr>
            <w:r>
              <w:rPr>
                <w:rFonts w:ascii="Aptos" w:cs="Aptos" w:eastAsia="Aptos" w:hAnsi="Aptos"/>
                <w:sz w:val="18"/>
                <w:szCs w:val="18"/>
                <w:color w:val="17233A"/>
                <w:b/>
                <w:bCs/>
              </w:rPr>
              <w:t xml:space="preserve">• Remittance Copy: </w:t>
            </w:r>
            <w:r>
              <w:rPr>
                <w:rFonts w:ascii="Aptos" w:cs="Aptos" w:eastAsia="Aptos" w:hAnsi="Aptos"/>
                <w:sz w:val="18"/>
                <w:szCs w:val="18"/>
                <w:color w:val="000000"/>
              </w:rPr>
              <w:t xml:space="preserve">the bank transfer receipt or SWIFT confirmation sent by the Buyer as evidence of transfer. Receipt of a Remittance Copy by NexaCrest does not constitute Payment Cleared.</w:t>
            </w:r>
          </w:p>
          <w:p>
            <w:pPr>
              <w:spacing w:before="40" w:after="40"/>
              <w:ind w:left="180" w:right="180"/>
            </w:pPr>
            <w:r>
              <w:rPr>
                <w:rFonts w:ascii="Aptos" w:cs="Aptos" w:eastAsia="Aptos" w:hAnsi="Aptos"/>
                <w:sz w:val="18"/>
                <w:szCs w:val="18"/>
                <w:color w:val="17233A"/>
                <w:b/>
                <w:bCs/>
              </w:rPr>
              <w:t xml:space="preserve">• Advance Payment: </w:t>
            </w:r>
            <w:r>
              <w:rPr>
                <w:rFonts w:ascii="Aptos" w:cs="Aptos" w:eastAsia="Aptos" w:hAnsi="Aptos"/>
                <w:sz w:val="18"/>
                <w:szCs w:val="18"/>
                <w:color w:val="000000"/>
              </w:rPr>
              <w:t xml:space="preserve">the advance percentage of the FOB Order value paid by T/T before production commences, as stated in this document.</w:t>
            </w:r>
          </w:p>
          <w:p>
            <w:pPr>
              <w:spacing w:before="40" w:after="40"/>
              <w:ind w:left="180" w:right="180"/>
            </w:pPr>
            <w:r>
              <w:rPr>
                <w:rFonts w:ascii="Aptos" w:cs="Aptos" w:eastAsia="Aptos" w:hAnsi="Aptos"/>
                <w:sz w:val="18"/>
                <w:szCs w:val="18"/>
                <w:color w:val="17233A"/>
                <w:b/>
                <w:bCs/>
              </w:rPr>
              <w:t xml:space="preserve">• Balance Payment: </w:t>
            </w:r>
            <w:r>
              <w:rPr>
                <w:rFonts w:ascii="Aptos" w:cs="Aptos" w:eastAsia="Aptos" w:hAnsi="Aptos"/>
                <w:sz w:val="18"/>
                <w:szCs w:val="18"/>
                <w:color w:val="000000"/>
              </w:rPr>
              <w:t xml:space="preserve">the remaining FOB Order value after the Advance Payment, paid by T/T as per the payment trigger stated in this document.</w:t>
            </w:r>
          </w:p>
          <w:p>
            <w:pPr>
              <w:spacing w:before="40" w:after="40"/>
              <w:ind w:left="180" w:right="180"/>
            </w:pPr>
            <w:r>
              <w:rPr>
                <w:rFonts w:ascii="Aptos" w:cs="Aptos" w:eastAsia="Aptos" w:hAnsi="Aptos"/>
                <w:sz w:val="18"/>
                <w:szCs w:val="18"/>
                <w:color w:val="17233A"/>
                <w:b/>
                <w:bCs/>
              </w:rPr>
              <w:t xml:space="preserve">• Debit Note: </w:t>
            </w:r>
            <w:r>
              <w:rPr>
                <w:rFonts w:ascii="Aptos" w:cs="Aptos" w:eastAsia="Aptos" w:hAnsi="Aptos"/>
                <w:sz w:val="18"/>
                <w:szCs w:val="18"/>
                <w:color w:val="000000"/>
              </w:rPr>
              <w:t xml:space="preserve">a written demand issued by NexaCrest for any agreed cost additional to the FOB Order value, including but not limited to freight, cargo insurance, inspection fees, or certificate fees. Each Debit Note must be confirmed as Payment Cleared before NexaCrest proceeds with the related activity.</w:t>
            </w:r>
          </w:p>
          <w:p>
            <w:pPr>
              <w:spacing w:before="40" w:after="40"/>
              <w:ind w:left="180" w:right="180"/>
            </w:pPr>
            <w:r>
              <w:rPr>
                <w:rFonts w:ascii="Aptos" w:cs="Aptos" w:eastAsia="Aptos" w:hAnsi="Aptos"/>
                <w:sz w:val="18"/>
                <w:szCs w:val="18"/>
                <w:color w:val="17233A"/>
                <w:b/>
                <w:bCs/>
              </w:rPr>
              <w:t xml:space="preserve">• Loading: </w:t>
            </w:r>
            <w:r>
              <w:rPr>
                <w:rFonts w:ascii="Aptos" w:cs="Aptos" w:eastAsia="Aptos" w:hAnsi="Aptos"/>
                <w:sz w:val="18"/>
                <w:szCs w:val="18"/>
                <w:color w:val="000000"/>
              </w:rPr>
              <w:t xml:space="preserve">the physical act of stuffing Products into the container at NexaCrest's designated processing facility. Loading is distinct from Shipment.</w:t>
            </w:r>
          </w:p>
          <w:p>
            <w:pPr>
              <w:spacing w:before="40" w:after="40"/>
              <w:ind w:left="180" w:right="180"/>
            </w:pPr>
            <w:r>
              <w:rPr>
                <w:rFonts w:ascii="Aptos" w:cs="Aptos" w:eastAsia="Aptos" w:hAnsi="Aptos"/>
                <w:sz w:val="18"/>
                <w:szCs w:val="18"/>
                <w:color w:val="17233A"/>
                <w:b/>
                <w:bCs/>
              </w:rPr>
              <w:t xml:space="preserve">• Shipment: </w:t>
            </w:r>
            <w:r>
              <w:rPr>
                <w:rFonts w:ascii="Aptos" w:cs="Aptos" w:eastAsia="Aptos" w:hAnsi="Aptos"/>
                <w:sz w:val="18"/>
                <w:szCs w:val="18"/>
                <w:color w:val="000000"/>
              </w:rPr>
              <w:t xml:space="preserve">the departure of the vessel from the port of loading. Shipment is distinct from Loading and from Delivery.</w:t>
            </w:r>
          </w:p>
          <w:p>
            <w:pPr>
              <w:spacing w:before="40" w:after="40"/>
              <w:ind w:left="180" w:right="180"/>
            </w:pPr>
            <w:r>
              <w:rPr>
                <w:rFonts w:ascii="Aptos" w:cs="Aptos" w:eastAsia="Aptos" w:hAnsi="Aptos"/>
                <w:sz w:val="18"/>
                <w:szCs w:val="18"/>
                <w:color w:val="17233A"/>
                <w:b/>
                <w:bCs/>
              </w:rPr>
              <w:t xml:space="preserve">• FCL (Full Container Load): </w:t>
            </w:r>
            <w:r>
              <w:rPr>
                <w:rFonts w:ascii="Aptos" w:cs="Aptos" w:eastAsia="Aptos" w:hAnsi="Aptos"/>
                <w:sz w:val="18"/>
                <w:szCs w:val="18"/>
                <w:color w:val="000000"/>
              </w:rPr>
              <w:t xml:space="preserve">a shipment occupying one complete container, approximately 24-27 MT including packing. Minimum order quantity is 1 FCL.</w:t>
            </w:r>
          </w:p>
          <w:p>
            <w:pPr>
              <w:spacing w:before="40" w:after="40"/>
              <w:ind w:left="180" w:right="180"/>
            </w:pPr>
            <w:r>
              <w:rPr>
                <w:rFonts w:ascii="Aptos" w:cs="Aptos" w:eastAsia="Aptos" w:hAnsi="Aptos"/>
                <w:sz w:val="18"/>
                <w:szCs w:val="18"/>
                <w:color w:val="17233A"/>
                <w:b/>
                <w:bCs/>
              </w:rPr>
              <w:t xml:space="preserve">• Production Commences: </w:t>
            </w:r>
            <w:r>
              <w:rPr>
                <w:rFonts w:ascii="Aptos" w:cs="Aptos" w:eastAsia="Aptos" w:hAnsi="Aptos"/>
                <w:sz w:val="18"/>
                <w:szCs w:val="18"/>
                <w:color w:val="000000"/>
              </w:rPr>
              <w:t xml:space="preserve">the point at which NexaCrest begins manufacturing the Products for this Order. Production commences only after the Advance Payment is confirmed as Payment Cleared. The Advance Payment is non-refundable from this point.</w:t>
            </w:r>
          </w:p>
          <w:p>
            <w:pPr>
              <w:spacing w:before="40" w:after="40"/>
              <w:ind w:left="180" w:right="180"/>
            </w:pPr>
            <w:r>
              <w:rPr>
                <w:rFonts w:ascii="Aptos" w:cs="Aptos" w:eastAsia="Aptos" w:hAnsi="Aptos"/>
                <w:sz w:val="18"/>
                <w:szCs w:val="18"/>
                <w:color w:val="17233A"/>
                <w:b/>
                <w:bCs/>
              </w:rPr>
              <w:t xml:space="preserve">• Shipment Readiness Confirmation: </w:t>
            </w:r>
            <w:r>
              <w:rPr>
                <w:rFonts w:ascii="Aptos" w:cs="Aptos" w:eastAsia="Aptos" w:hAnsi="Aptos"/>
                <w:sz w:val="18"/>
                <w:szCs w:val="18"/>
                <w:color w:val="000000"/>
              </w:rPr>
              <w:t xml:space="preserve">a written notification from NexaCrest by email or WhatsApp confirming that the Products have passed quality inspection (NexaCrest's internal quality check, or third-party Pre-loading Inspection where applicable), are fully packed, and are ready for vessel booking.</w:t>
            </w:r>
          </w:p>
        </w:tc>
      </w:tr>
    </w:tbl>
    <w:p>
      <w:pPr>
        <w:spacing w:before="0" w:after="80"/>
      </w:pPr>
    </w:p>
    <w:tbl>
      <w:tblPr>
        <w:tblW w:type="dxa" w:w="9638"/>
        <w:tblBorders>
          <w:top w:val="single" w:color="D0D8E4" w:sz="4"/>
          <w:left w:val="single" w:color="D0D8E4" w:sz="4"/>
          <w:bottom w:val="single" w:color="D0D8E4" w:sz="4"/>
          <w:right w:val="single" w:color="D0D8E4" w:sz="4"/>
          <w:insideH w:val="single" w:color="D0D8E4" w:sz="4"/>
          <w:insideV w:val="single" w:color="D0D8E4" w:sz="4"/>
        </w:tblBorders>
      </w:tblPr>
      <w:tblGrid>
        <w:gridCol w:w="5011"/>
        <w:gridCol w:w="4627"/>
      </w:tblGrid>
      <w:tr>
        <w:tc>
          <w:tcPr>
            <w:tcW w:type="dxa" w:w="5011"/>
            <w:tcBorders>
              <w:top w:val="none" w:color="FFFFFF" w:sz="0"/>
              <w:left w:val="none" w:color="FFFFFF" w:sz="0"/>
              <w:bottom w:val="none" w:color="FFFFFF" w:sz="0"/>
              <w:right w:val="none" w:color="FFFFFF" w:sz="0"/>
            </w:tcBorders>
          </w:tcPr>
          <w:p>
            <w:pPr>
              <w:spacing w:after="20"/>
            </w:pPr>
            <w:r>
              <w:rPr>
                <w:rFonts w:ascii="Aptos" w:cs="Aptos" w:eastAsia="Aptos" w:hAnsi="Aptos"/>
                <w:b/>
                <w:bCs/>
                <w:color w:val="17233A"/>
                <w:sz w:val="20"/>
                <w:szCs w:val="20"/>
              </w:rPr>
              <w:t xml:space="preserve">For</w:t>
            </w:r>
          </w:p>
          <w:p>
            <w:pPr>
              <w:spacing w:after="120"/>
            </w:pPr>
            <w:r>
              <w:rPr>
                <w:rFonts w:ascii="Aptos" w:cs="Aptos" w:eastAsia="Aptos" w:hAnsi="Aptos"/>
                <w:b/>
                <w:bCs/>
                <w:color w:val="17233A"/>
                <w:sz w:val="20"/>
                <w:szCs w:val="20"/>
              </w:rPr>
              <w:t xml:space="preserve">NexaCrest International Private Limited</w:t>
            </w:r>
          </w:p>
          <w:p>
            <w:r>
              <w:drawing>
                <wp:inline distT="0" distB="0" distL="0" distR="0">
                  <wp:extent cx="161925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619250" cy="1619250"/>
                          </a:xfrm>
                          <a:prstGeom prst="rect">
                            <a:avLst/>
                          </a:prstGeom>
                        </pic:spPr>
                      </pic:pic>
                    </a:graphicData>
                  </a:graphic>
                </wp:inline>
              </w:drawing>
            </w:r>
          </w:p>
        </w:tc>
        <w:tc>
          <w:tcPr>
            <w:tcW w:type="dxa" w:w="4627"/>
            <w:tcBorders>
              <w:top w:val="none" w:color="FFFFFF" w:sz="0"/>
              <w:left w:val="none" w:color="FFFFFF" w:sz="0"/>
              <w:bottom w:val="none" w:color="FFFFFF" w:sz="0"/>
              <w:right w:val="none" w:color="FFFFFF" w:sz="0"/>
            </w:tcBorders>
          </w:tcPr>
          <w:p>
            <w:pPr>
              <w:spacing w:after="60"/>
            </w:pPr>
            <w:r>
              <w:rPr>
                <w:rFonts w:ascii="Aptos" w:cs="Aptos" w:eastAsia="Aptos" w:hAnsi="Aptos"/>
                <w:b/>
                <w:bCs/>
                <w:color w:val="5B6573"/>
                <w:sz w:val="20"/>
                <w:szCs w:val="20"/>
              </w:rPr>
              <w:t xml:space="preserve">Authorised Signatory</w:t>
            </w:r>
          </w:p>
          <w:p>
            <w:pPr>
              <w:spacing w:after="80"/>
            </w:pPr>
            <w:r>
              <w:drawing>
                <wp:inline distT="0" distB="0" distL="0" distR="0">
                  <wp:extent cx="1905000"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28600"/>
                          </a:xfrm>
                          <a:prstGeom prst="rect">
                            <a:avLst/>
                          </a:prstGeom>
                        </pic:spPr>
                      </pic:pic>
                    </a:graphicData>
                  </a:graphic>
                </wp:inline>
              </w:drawing>
            </w:r>
          </w:p>
          <w:p>
            <w:pPr>
              <w:spacing w:after="100"/>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143000"/>
                          </a:xfrm>
                          <a:prstGeom prst="rect">
                            <a:avLst/>
                          </a:prstGeom>
                        </pic:spPr>
                      </pic:pic>
                    </a:graphicData>
                  </a:graphic>
                </wp:inline>
              </w:drawing>
            </w:r>
          </w:p>
          <w:p>
            <w:pPr>
              <w:pBdr>
                <w:bottom w:val="single" w:sz="4" w:space="4"/>
              </w:pBdr>
              <w:spacing w:after="100"/>
            </w:pPr>
          </w:p>
          <w:p>
            <w:pPr>
              <w:spacing w:after="40"/>
            </w:pPr>
            <w:r>
              <w:rPr>
                <w:rFonts w:ascii="Aptos" w:cs="Aptos" w:eastAsia="Aptos" w:hAnsi="Aptos"/>
                <w:b/>
                <w:bCs/>
                <w:color w:val="17233A"/>
                <w:sz w:val="26"/>
                <w:szCs w:val="26"/>
              </w:rPr>
              <w:t xml:space="preserve">Gulmohar Sontakke</w:t>
            </w:r>
          </w:p>
          <w:p>
            <w:pPr>
              <w:spacing w:after="40"/>
            </w:pPr>
            <w:r>
              <w:rPr>
                <w:rFonts w:ascii="Aptos" w:cs="Aptos" w:eastAsia="Aptos" w:hAnsi="Aptos"/>
                <w:b/>
                <w:bCs/>
                <w:sz w:val="20"/>
                <w:szCs w:val="20"/>
              </w:rPr>
              <w:t xml:space="preserve">Founder &amp; Managing Director</w:t>
            </w:r>
          </w:p>
          <w:p>
            <w:r>
              <w:rPr>
                <w:rFonts w:ascii="Aptos" w:cs="Aptos" w:eastAsia="Aptos" w:hAnsi="Aptos"/>
                <w:color w:val="5B6573"/>
                <w:sz w:val="18"/>
                <w:szCs w:val="18"/>
              </w:rPr>
              <w:t xml:space="preserve">NexaCrest International Private Limited</w:t>
            </w:r>
          </w:p>
        </w:tc>
      </w:tr>
    </w:tbl>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0a8049ebf87ef45b4bed6e0b3fe6819f6995b7.jpg"/><Relationship Id="rId8" Type="http://schemas.openxmlformats.org/officeDocument/2006/relationships/image" Target="media/169126f1dd7945989cde2303586403d6563d6424.png"/><Relationship Id="rId9" Type="http://schemas.openxmlformats.org/officeDocument/2006/relationships/image" Target="media/a6c9f98c305a70a92153282adf23ac209510f448.png"/><Relationship Id="rId10" Type="http://schemas.openxmlformats.org/officeDocument/2006/relationships/image" Target="media/db9422367a69f1c25aa0f15d56ddf24a347470d7.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2026-09-17T06:44:29.569Z</dcterms:created>
  <dcterms:modified xsi:type="dcterms:W3CDTF">2026-09-17T06:44:29.569Z</dcterms:modified>
</cp:coreProperties>
</file>

<file path=docProps/custom.xml><?xml version="1.0" encoding="utf-8"?>
<Properties xmlns="http://schemas.openxmlformats.org/officeDocument/2006/custom-properties" xmlns:vt="http://schemas.openxmlformats.org/officeDocument/2006/docPropsVTypes"/>
</file>