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DEBIT NOTE</w:t>
            </w:r>
          </w:p>
          <w:p>
            <w:pPr>
              <w:jc w:val="right"/>
            </w:pPr>
            <w:r>
              <w:rPr>
                <w:rFonts w:ascii="Aptos" w:cs="Aptos" w:eastAsia="Aptos" w:hAnsi="Aptos"/>
                <w:b/>
                <w:bCs/>
                <w:color w:val="5B6573"/>
                <w:sz w:val="20"/>
                <w:szCs w:val="20"/>
              </w:rPr>
              <w:t xml:space="preserve">ADDITIONAL COST RECOVERY</w:t>
            </w:r>
          </w:p>
        </w:tc>
      </w:tr>
    </w:tbl>
    <w:p>
      <w:pPr>
        <w:spacing w:after="12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before="0" w:after="60"/>
      </w:pPr>
      <w:r>
        <w:rPr>
          <w:rFonts w:ascii="Aptos" w:cs="Aptos" w:eastAsia="Aptos" w:hAnsi="Aptos"/>
          <w:i/>
          <w:sz w:val="17"/>
          <w:szCs w:val="17"/>
          <w:color w:val="5B6573"/>
        </w:rPr>
        <w:t xml:space="preserve">Terms used in this document are defined in Section 8 — Legal Terms &amp; Definitions at the end of this document.</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DEBIT NOTE NO. *</w:t>
            </w:r>
          </w:p>
          <w:p>
            <w:r>
              <w:rPr>
                <w:rFonts w:ascii="Aptos" w:cs="Aptos" w:eastAsia="Aptos" w:hAnsi="Aptos"/>
                <w:b/>
                <w:bCs/>
                <w:color w:val="17233A"/>
                <w:sz w:val="20"/>
                <w:szCs w:val="20"/>
              </w:rPr>
              <w:t xml:space="preserve">[SC/DN/YYYY/DDMMNNN Rev.00]</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PI REFERENCE *</w:t>
            </w:r>
          </w:p>
          <w:p>
            <w:r>
              <w:rPr>
                <w:rFonts w:ascii="Aptos" w:cs="Aptos" w:eastAsia="Aptos" w:hAnsi="Aptos"/>
                <w:b/>
                <w:bCs/>
                <w:color w:val="17233A"/>
                <w:sz w:val="20"/>
                <w:szCs w:val="20"/>
              </w:rPr>
              <w:t xml:space="preserve">[SC/PI/YYYY/DDMMNNN]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p>
      <w:pPr>
        <w:spacing w:after="1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4" w:space="0"/>
              <w:bottom w:val="single" w:color="D0D8E4" w:sz="2"/>
              <w:right w:val="single" w:color="D0D8E4" w:sz="2"/>
            </w:tcBorders>
            <w:shd w:fill="FBEAEA" w:val="clear"/>
            <w:tcMar>
              <w:top w:type="dxa" w:w="120"/>
              <w:left w:type="dxa" w:w="200"/>
              <w:bottom w:type="dxa" w:w="120"/>
              <w:right w:type="dxa" w:w="200"/>
            </w:tcMar>
          </w:tcPr>
          <w:p>
            <w:pPr>
              <w:spacing w:after="60"/>
              <w:jc w:val="center"/>
            </w:pPr>
            <w:r>
              <w:rPr>
                <w:rFonts w:ascii="Aptos" w:cs="Aptos" w:eastAsia="Aptos" w:hAnsi="Aptos"/>
                <w:b/>
                <w:bCs/>
                <w:color w:val="8A1F1F"/>
                <w:sz w:val="24"/>
                <w:szCs w:val="24"/>
              </w:rPr>
              <w:t xml:space="preserve">PAYMENT REQUIRED BEFORE SHIPMENT</w:t>
            </w:r>
          </w:p>
          <w:p>
            <w:pPr>
              <w:jc w:val="center"/>
            </w:pPr>
            <w:r>
              <w:rPr>
                <w:rFonts w:ascii="Aptos" w:cs="Aptos" w:eastAsia="Aptos" w:hAnsi="Aptos"/>
                <w:color w:val="5A1414"/>
                <w:sz w:val="19"/>
                <w:szCs w:val="19"/>
              </w:rPr>
              <w:t xml:space="preserve">Payment of this Debit Note is required within </w:t>
            </w:r>
            <w:r>
              <w:rPr>
                <w:rFonts w:ascii="Aptos" w:cs="Aptos" w:eastAsia="Aptos" w:hAnsi="Aptos"/>
                <w:b/>
                <w:bCs/>
                <w:color w:val="8A1F1F"/>
                <w:sz w:val="19"/>
                <w:szCs w:val="19"/>
              </w:rPr>
              <w:t xml:space="preserve">3 Calendar Days</w:t>
            </w:r>
            <w:r>
              <w:rPr>
                <w:rFonts w:ascii="Aptos" w:cs="Aptos" w:eastAsia="Aptos" w:hAnsi="Aptos"/>
                <w:color w:val="5A1414"/>
                <w:sz w:val="19"/>
                <w:szCs w:val="19"/>
              </w:rPr>
              <w:t xml:space="preserve"> of the date above. NexaCrest will confirm shipment booking and hand over cargo to the shipping line </w:t>
            </w:r>
            <w:r>
              <w:rPr>
                <w:rFonts w:ascii="Aptos" w:cs="Aptos" w:eastAsia="Aptos" w:hAnsi="Aptos"/>
                <w:b/>
                <w:bCs/>
                <w:color w:val="8A1F1F"/>
                <w:sz w:val="19"/>
                <w:szCs w:val="19"/>
              </w:rPr>
              <w:t xml:space="preserve">only upon receipt of full freight payment.</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FROM (SELLER / EXPORTER)</w:t>
            </w:r>
          </w:p>
        </w:tc>
      </w:tr>
    </w:tbl>
    <w:p>
      <w:pPr>
        <w:spacing w:after="80" w:before="0"/>
      </w:pPr>
    </w:p>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TERMS &amp; CONDITIONS</w:t>
            </w:r>
          </w:p>
        </w:tc>
      </w:tr>
    </w:tbl>
    <w:p>
      <w:pPr>
        <w:spacing w:before="0" w:after="80"/>
      </w:pPr>
    </w:p>
    <w:tbl>
      <w:tblPr>
        <w:tblW w:w="9638" w:type="dxa"/>
        <w:tblBorders>
          <w:top w:val="single" w:color="D0D8E4" w:sz="4"/>
          <w:left w:val="single" w:color="D0D8E4" w:sz="4"/>
          <w:bottom w:val="single" w:color="D0D8E4" w:sz="4"/>
          <w:right w:val="single" w:color="D0D8E4" w:sz="4"/>
        </w:tblBorders>
      </w:tblPr>
      <w:tblGrid>
        <w:gridCol w:w="9638"/>
      </w:tblGrid>
      <w:tr>
        <w:tc>
          <w:tcPr>
            <w:tcW w:w="9638" w:type="dxa"/>
            <w:shd w:fill="F9FAFB" w:val="clear"/>
            <w:tcMar>
              <w:top w:type="dxa" w:w="80"/>
              <w:left w:type="dxa" w:w="160"/>
              <w:bottom w:type="dxa" w:w="80"/>
              <w:right w:type="dxa" w:w="160"/>
            </w:tcMar>
          </w:tcPr>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 PAN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TO (BUYER)</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Legal Name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[Must match PI exactly]</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Billing Address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[Full address — must match PI]</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[Full name]</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[buyer@email.com]</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ORDER REFERENCE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Proforma Invoice No.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[SC/PI/YYYY/DDMMNNN]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Product(s)</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[As per PI — e.g., Absolute Black Granite Memorial Monument, 420 m²]</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[CFR / CIF Named Port — Incoterms® 2020. Freight recovery applies as agreed under the referenced Proforma Invoice.]</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destination port  /  destination port  /  destination port]</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Shipping Line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[Name of shipping line — e.g., MSC / Maersk / CMA CGM]</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Cargo Status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Packed and ready for shipment as of DD Month YYYY]</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FREIGHT &amp; CHARGES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638"/>
      </w:tblGrid>
      <w:tr>
        <w:tc>
          <w:tcPr>
            <w:tcW w:type="dxa" w:w="3200"/>
            <w:tcBorders>
              <w:top w:val="single" w:color="D0D8E4" w:sz="2"/>
              <w:left w:val="single" w:color="D0D8E4" w:sz="2"/>
              <w:bottom w:val="single" w:color="D0D8E4" w:sz="2"/>
              <w:right w:val="single" w:color="D0D8E4" w:sz="2"/>
            </w:tcBorders>
            <w:shd w:fill="173B73" w:val="clear"/>
            <w:tcMar>
              <w:top w:type="dxa" w:w="90"/>
              <w:left w:type="dxa" w:w="120"/>
              <w:bottom w:type="dxa" w:w="90"/>
              <w:right w:type="dxa" w:w="120"/>
            </w:tcMar>
          </w:tcPr>
          <w:p>
            <w:r>
              <w:rPr>
                <w:rFonts w:ascii="Aptos" w:cs="Aptos" w:eastAsia="Aptos" w:hAnsi="Aptos"/>
                <w:b/>
                <w:bCs/>
                <w:color w:val="FFFFFF"/>
                <w:sz w:val="19"/>
                <w:szCs w:val="19"/>
              </w:rPr>
              <w:t xml:space="preserve">Description *</w:t>
            </w:r>
          </w:p>
        </w:tc>
        <w:tc>
          <w:tcPr>
            <w:tcW w:type="dxa" w:w="1400"/>
            <w:tcBorders>
              <w:top w:val="single" w:color="D0D8E4" w:sz="2"/>
              <w:left w:val="single" w:color="D0D8E4" w:sz="2"/>
              <w:bottom w:val="single" w:color="D0D8E4" w:sz="2"/>
              <w:right w:val="single" w:color="D0D8E4" w:sz="2"/>
            </w:tcBorders>
            <w:shd w:fill="173B73" w:val="clear"/>
            <w:tcMar>
              <w:top w:type="dxa" w:w="90"/>
              <w:left w:type="dxa" w:w="120"/>
              <w:bottom w:type="dxa" w:w="90"/>
              <w:right w:type="dxa" w:w="120"/>
            </w:tcMar>
          </w:tcPr>
          <w:p>
            <w:r>
              <w:rPr>
                <w:rFonts w:ascii="Aptos" w:cs="Aptos" w:eastAsia="Aptos" w:hAnsi="Aptos"/>
                <w:b/>
                <w:bCs/>
                <w:color w:val="FFFFFF"/>
                <w:sz w:val="19"/>
                <w:szCs w:val="19"/>
              </w:rPr>
              <w:t xml:space="preserve">Container Type *</w:t>
            </w:r>
          </w:p>
        </w:tc>
        <w:tc>
          <w:tcPr>
            <w:tcW w:type="dxa" w:w="1400"/>
            <w:tcBorders>
              <w:top w:val="single" w:color="D0D8E4" w:sz="2"/>
              <w:left w:val="single" w:color="D0D8E4" w:sz="2"/>
              <w:bottom w:val="single" w:color="D0D8E4" w:sz="2"/>
              <w:right w:val="single" w:color="D0D8E4" w:sz="2"/>
            </w:tcBorders>
            <w:shd w:fill="173B73" w:val="clear"/>
            <w:tcMar>
              <w:top w:type="dxa" w:w="90"/>
              <w:left w:type="dxa" w:w="120"/>
              <w:bottom w:type="dxa" w:w="90"/>
              <w:right w:type="dxa" w:w="120"/>
            </w:tcMar>
          </w:tcPr>
          <w:p>
            <w:r>
              <w:rPr>
                <w:rFonts w:ascii="Aptos" w:cs="Aptos" w:eastAsia="Aptos" w:hAnsi="Aptos"/>
                <w:b/>
                <w:bCs/>
                <w:color w:val="FFFFFF"/>
                <w:sz w:val="19"/>
                <w:szCs w:val="19"/>
              </w:rPr>
              <w:t xml:space="preserve">Amount (USD) *</w:t>
            </w:r>
          </w:p>
        </w:tc>
        <w:tc>
          <w:tcPr>
            <w:tcW w:type="dxa" w:w="3638"/>
            <w:tcBorders>
              <w:top w:val="single" w:color="D0D8E4" w:sz="2"/>
              <w:left w:val="single" w:color="D0D8E4" w:sz="2"/>
              <w:bottom w:val="single" w:color="D0D8E4" w:sz="2"/>
              <w:right w:val="single" w:color="D0D8E4" w:sz="2"/>
            </w:tcBorders>
            <w:shd w:fill="173B73" w:val="clear"/>
            <w:tcMar>
              <w:top w:type="dxa" w:w="90"/>
              <w:left w:type="dxa" w:w="120"/>
              <w:bottom w:type="dxa" w:w="90"/>
              <w:right w:type="dxa" w:w="120"/>
            </w:tcMar>
          </w:tcPr>
          <w:p>
            <w:r>
              <w:rPr>
                <w:rFonts w:ascii="Aptos" w:cs="Aptos" w:eastAsia="Aptos" w:hAnsi="Aptos"/>
                <w:b/>
                <w:bCs/>
                <w:color w:val="FFFFFF"/>
                <w:sz w:val="19"/>
                <w:szCs w:val="19"/>
              </w:rPr>
              <w:t xml:space="preserve">Remarks</w:t>
            </w:r>
          </w:p>
        </w:tc>
      </w:tr>
      <w:tr>
        <w:tc>
          <w:tcPr>
            <w:tcW w:type="dxa" w:w="32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Ocean Freight</w:t>
            </w:r>
          </w:p>
        </w:tc>
        <w:tc>
          <w:tcPr>
            <w:tcW w:type="dxa" w:w="14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[1 × 20ft FCL / 1 × 40ft FCL]</w:t>
            </w:r>
          </w:p>
        </w:tc>
        <w:tc>
          <w:tcPr>
            <w:tcW w:type="dxa" w:w="14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[USD XXXXX.XX]</w:t>
            </w:r>
          </w:p>
        </w:tc>
        <w:tc>
          <w:tcPr>
            <w:tcW w:type="dxa" w:w="36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[Confirmed rate — Chennai to [Port of Discharge] — valid for booking by [Date]]</w:t>
            </w:r>
          </w:p>
        </w:tc>
      </w:tr>
      <w:tr>
        <w:tc>
          <w:tcPr>
            <w:tcW w:type="dxa" w:w="32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Origin Charges (if any)</w:t>
            </w:r>
          </w:p>
        </w:tc>
        <w:tc>
          <w:tcPr>
            <w:tcW w:type="dxa" w:w="14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
            </w:r>
          </w:p>
        </w:tc>
        <w:tc>
          <w:tcPr>
            <w:tcW w:type="dxa" w:w="14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iCs/>
                <w:color w:val="5B6573"/>
                <w:sz w:val="19"/>
                <w:szCs w:val="19"/>
              </w:rPr>
              <w:t xml:space="preserve">[USD XXX.XX  /  NIL]</w:t>
            </w:r>
          </w:p>
        </w:tc>
        <w:tc>
          <w:tcPr>
            <w:tcW w:type="dxa" w:w="3638"/>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iCs/>
                <w:color w:val="5B6573"/>
                <w:sz w:val="19"/>
                <w:szCs w:val="19"/>
              </w:rPr>
              <w:t xml:space="preserve">[e.g., THC, documentation charges at Chennai — if applicable]</w:t>
            </w:r>
          </w:p>
        </w:tc>
      </w:tr>
      <w:tr>
        <w:tc>
          <w:tcPr>
            <w:tcW w:type="dxa" w:w="32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Insurance</w:t>
            </w:r>
          </w:p>
        </w:tc>
        <w:tc>
          <w:tcPr>
            <w:tcW w:type="dxa" w:w="14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
            </w:r>
          </w:p>
        </w:tc>
        <w:tc>
          <w:tcPr>
            <w:tcW w:type="dxa" w:w="14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[USD XXX.XX  /  NIL]</w:t>
            </w:r>
          </w:p>
        </w:tc>
        <w:tc>
          <w:tcPr>
            <w:tcW w:type="dxa" w:w="36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[CIF only — if FOB/CFR enter NIL]</w:t>
            </w:r>
          </w:p>
        </w:tc>
      </w:tr>
      <w:tr>
        <w:tc>
          <w:tcPr>
            <w:tcW w:type="dxa" w:w="32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GST / IGST (if applicable)</w:t>
            </w:r>
          </w:p>
        </w:tc>
        <w:tc>
          <w:tcPr>
            <w:tcW w:type="dxa" w:w="14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
            </w:r>
          </w:p>
        </w:tc>
        <w:tc>
          <w:tcPr>
            <w:tcW w:type="dxa" w:w="14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iCs/>
                <w:color w:val="5B6573"/>
                <w:sz w:val="19"/>
                <w:szCs w:val="19"/>
              </w:rPr>
              <w:t xml:space="preserve">[USD XXX.XX  /  NIL]</w:t>
            </w:r>
          </w:p>
        </w:tc>
        <w:tc>
          <w:tcPr>
            <w:tcW w:type="dxa" w:w="3638"/>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iCs/>
                <w:color w:val="5B6573"/>
                <w:sz w:val="19"/>
                <w:szCs w:val="19"/>
              </w:rPr>
              <w:t xml:space="preserve">[[⚠ INTERNAL NOTE — remove before sending: Confirm GST treatment with CA before issuing. Enter confirmed amount below — do not send this note to buyer.]]</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4"/>
      </w:tblGrid>
      <w:tr>
        <w:tc>
          <w:tcPr>
            <w:tcW w:type="dxa" w:w="6264"/>
            <w:tcBorders>
              <w:top w:val="single" w:color="D0D8E4" w:sz="2"/>
              <w:left w:val="single" w:color="D0D8E4" w:sz="2"/>
              <w:bottom w:val="single" w:color="D0D8E4" w:sz="2"/>
              <w:right w:val="single" w:color="D0D8E4" w:sz="2"/>
            </w:tcBorders>
            <w:shd w:fill="17233A" w:val="clear"/>
            <w:tcMar>
              <w:top w:type="dxa" w:w="100"/>
              <w:left w:type="dxa" w:w="160"/>
              <w:bottom w:type="dxa" w:w="100"/>
              <w:right w:type="dxa" w:w="160"/>
            </w:tcMar>
          </w:tcPr>
          <w:p>
            <w:pPr>
              <w:jc w:val="right"/>
            </w:pPr>
            <w:r>
              <w:rPr>
                <w:rFonts w:ascii="Aptos" w:cs="Aptos" w:eastAsia="Aptos" w:hAnsi="Aptos"/>
                <w:b/>
                <w:bCs/>
                <w:color w:val="FFFFFF"/>
                <w:sz w:val="22"/>
                <w:szCs w:val="22"/>
              </w:rPr>
              <w:t xml:space="preserve">TOTAL AMOUNT DUE (USD) *  [incl. GST if applicable]</w:t>
            </w:r>
          </w:p>
        </w:tc>
        <w:tc>
          <w:tcPr>
            <w:tcW w:type="dxa" w:w="3374"/>
            <w:tcBorders>
              <w:top w:val="single" w:color="D0D8E4" w:sz="2"/>
              <w:left w:val="single" w:color="D0D8E4" w:sz="2"/>
              <w:bottom w:val="single" w:color="D0D8E4" w:sz="2"/>
              <w:right w:val="single" w:color="D0D8E4" w:sz="2"/>
            </w:tcBorders>
            <w:shd w:fill="173B73" w:val="clear"/>
            <w:tcMar>
              <w:top w:type="dxa" w:w="100"/>
              <w:left w:type="dxa" w:w="160"/>
              <w:bottom w:type="dxa" w:w="100"/>
              <w:right w:type="dxa" w:w="160"/>
            </w:tcMar>
          </w:tcPr>
          <w:p>
            <w:pPr>
              <w:jc w:val="right"/>
            </w:pPr>
            <w:r>
              <w:rPr>
                <w:rFonts w:ascii="Aptos" w:cs="Aptos" w:eastAsia="Aptos" w:hAnsi="Aptos"/>
                <w:b/>
                <w:bCs/>
                <w:i/>
                <w:iCs/>
                <w:color w:val="FFFFFF"/>
                <w:sz w:val="22"/>
                <w:szCs w:val="22"/>
              </w:rPr>
              <w:t xml:space="preserve">[USD XXXXX.XX]</w:t>
            </w:r>
            <w:r>
              <w:rPr>
                <w:rFonts w:ascii="Aptos" w:cs="Aptos" w:eastAsia="Aptos" w:hAnsi="Aptos"/>
                <w:b/>
                <w:bCs/>
                <w:color w:val="C0392B"/>
                <w:sz w:val="22"/>
                <w:szCs w:val="22"/>
              </w:rPr>
              <w:t xml:space="preserve"> *</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PAYMENT INSTRUCTIONS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4" w:space="0"/>
              <w:bottom w:val="single" w:color="D0D8E4" w:sz="2"/>
              <w:right w:val="single" w:color="D0D8E4" w:sz="2"/>
            </w:tcBorders>
            <w:shd w:fill="FBEAEA" w:val="clear"/>
            <w:tcMar>
              <w:top w:type="dxa" w:w="120"/>
              <w:left w:type="dxa" w:w="200"/>
              <w:bottom w:type="dxa" w:w="120"/>
              <w:right w:type="dxa" w:w="200"/>
            </w:tcMar>
          </w:tcPr>
          <w:p>
            <w:pPr>
              <w:spacing w:after="80"/>
            </w:pPr>
            <w:r>
              <w:rPr>
                <w:rFonts w:ascii="Aptos" w:cs="Aptos" w:eastAsia="Aptos" w:hAnsi="Aptos"/>
                <w:b/>
                <w:bCs/>
                <w:color w:val="8A1F1F"/>
                <w:sz w:val="20"/>
                <w:szCs w:val="20"/>
              </w:rPr>
              <w:t xml:space="preserve">Payment Due:</w:t>
            </w:r>
            <w:r>
              <w:rPr>
                <w:rFonts w:ascii="Aptos" w:cs="Aptos" w:eastAsia="Aptos" w:hAnsi="Aptos"/>
                <w:color w:val="5A1414"/>
                <w:sz w:val="19"/>
                <w:szCs w:val="19"/>
              </w:rPr>
              <w:t xml:space="preserve">  Within 3 Calendar Days of this Debit Note date  —  by </w:t>
            </w:r>
            <w:r>
              <w:rPr>
                <w:rFonts w:ascii="Aptos" w:cs="Aptos" w:eastAsia="Aptos" w:hAnsi="Aptos"/>
                <w:b/>
                <w:bCs/>
                <w:i/>
                <w:iCs/>
                <w:color w:val="8A1F1F"/>
                <w:sz w:val="19"/>
                <w:szCs w:val="19"/>
              </w:rPr>
              <w:t xml:space="preserve">[DD Month YYYY]</w:t>
            </w:r>
            <w:r>
              <w:rPr>
                <w:rFonts w:ascii="Aptos" w:cs="Aptos" w:eastAsia="Aptos" w:hAnsi="Aptos"/>
                <w:b/>
                <w:bCs/>
                <w:color w:val="C0392B"/>
                <w:sz w:val="19"/>
                <w:szCs w:val="19"/>
              </w:rPr>
              <w:t xml:space="preserve"> *</w:t>
            </w:r>
          </w:p>
          <w:p>
            <w:pPr>
              <w:spacing w:after="80"/>
            </w:pPr>
            <w:r>
              <w:rPr>
                <w:rFonts w:ascii="Aptos" w:cs="Aptos" w:eastAsia="Aptos" w:hAnsi="Aptos"/>
                <w:b/>
                <w:bCs/>
                <w:color w:val="8A1F1F"/>
                <w:sz w:val="20"/>
                <w:szCs w:val="20"/>
              </w:rPr>
              <w:t xml:space="preserve">Payment Method:</w:t>
            </w:r>
            <w:r>
              <w:rPr>
                <w:rFonts w:ascii="Aptos" w:cs="Aptos" w:eastAsia="Aptos" w:hAnsi="Aptos"/>
                <w:color w:val="5A1414"/>
                <w:sz w:val="19"/>
                <w:szCs w:val="19"/>
              </w:rPr>
              <w:t xml:space="preserve">  T/T (Telegraphic Transfer) to NexaCrest bank account below</w:t>
            </w:r>
          </w:p>
          <w:p>
            <w:pPr>
              <w:spacing w:after="80"/>
            </w:pPr>
            <w:r>
              <w:rPr>
                <w:rFonts w:ascii="Aptos" w:cs="Aptos" w:eastAsia="Aptos" w:hAnsi="Aptos"/>
                <w:b/>
                <w:bCs/>
                <w:color w:val="8A1F1F"/>
                <w:sz w:val="20"/>
                <w:szCs w:val="20"/>
              </w:rPr>
              <w:t xml:space="preserve">Reference:</w:t>
            </w:r>
            <w:r>
              <w:rPr>
                <w:rFonts w:ascii="Aptos" w:cs="Aptos" w:eastAsia="Aptos" w:hAnsi="Aptos"/>
                <w:color w:val="5A1414"/>
                <w:sz w:val="19"/>
                <w:szCs w:val="19"/>
              </w:rPr>
              <w:t xml:space="preserve">  Quote Debit Note No. </w:t>
            </w:r>
            <w:r>
              <w:rPr>
                <w:rFonts w:ascii="Aptos" w:cs="Aptos" w:eastAsia="Aptos" w:hAnsi="Aptos"/>
                <w:b/>
                <w:bCs/>
                <w:i/>
                <w:iCs/>
                <w:color w:val="8A1F1F"/>
                <w:sz w:val="19"/>
                <w:szCs w:val="19"/>
              </w:rPr>
              <w:t xml:space="preserve">[SC/DN/YYYY/DDMMNNN]</w:t>
            </w:r>
            <w:r>
              <w:rPr>
                <w:rFonts w:ascii="Aptos" w:cs="Aptos" w:eastAsia="Aptos" w:hAnsi="Aptos"/>
                <w:color w:val="5A1414"/>
                <w:sz w:val="19"/>
                <w:szCs w:val="19"/>
              </w:rPr>
              <w:t xml:space="preserve"> and PI No. </w:t>
            </w:r>
            <w:r>
              <w:rPr>
                <w:rFonts w:ascii="Aptos" w:cs="Aptos" w:eastAsia="Aptos" w:hAnsi="Aptos"/>
                <w:b/>
                <w:bCs/>
                <w:i/>
                <w:iCs/>
                <w:color w:val="8A1F1F"/>
                <w:sz w:val="19"/>
                <w:szCs w:val="19"/>
              </w:rPr>
              <w:t xml:space="preserve">[SC/PI/YYYY/DDMMNNN]</w:t>
            </w:r>
            <w:r>
              <w:rPr>
                <w:rFonts w:ascii="Aptos" w:cs="Aptos" w:eastAsia="Aptos" w:hAnsi="Aptos"/>
                <w:color w:val="5A1414"/>
                <w:sz w:val="19"/>
                <w:szCs w:val="19"/>
              </w:rPr>
              <w:t xml:space="preserve"> in the remittance</w:t>
            </w:r>
          </w:p>
          <w:p>
            <w:r>
              <w:rPr>
                <w:rFonts w:ascii="Aptos" w:cs="Aptos" w:eastAsia="Aptos" w:hAnsi="Aptos"/>
                <w:b/>
                <w:bCs/>
                <w:color w:val="8A1F1F"/>
                <w:sz w:val="20"/>
                <w:szCs w:val="20"/>
              </w:rPr>
              <w:t xml:space="preserve">⚠ Critical:  Share bank remittance copy to as per Section 1 contact details above within 24 hours of payment. Shipment booking will be confirmed only upon verification of freight receipt.</w:t>
            </w:r>
            <w:r>
              <w:rPr>
                <w:rFonts w:ascii="Aptos" w:cs="Aptos" w:eastAsia="Aptos" w:hAnsi="Aptos"/>
                <w:color w:val="5A1414"/>
                <w:sz w:val="19"/>
                <w:szCs w:val="19"/>
              </w:rPr>
              <w:t xml:space="preserve"/>
            </w:r>
            <w:r>
              <w:rPr>
                <w:rFonts w:ascii="Aptos" w:cs="Aptos" w:eastAsia="Aptos" w:hAnsi="Aptos"/>
                <w:b/>
                <w:bCs/>
                <w:i/>
                <w:iCs/>
                <w:color w:val="8A1F1F"/>
                <w:sz w:val="19"/>
                <w:szCs w:val="19"/>
              </w:rPr>
              <w:t xml:space="preserve"/>
            </w:r>
            <w:r>
              <w:rPr>
                <w:rFonts w:ascii="Aptos" w:cs="Aptos" w:eastAsia="Aptos" w:hAnsi="Aptos"/>
                <w:color w:val="5A1414"/>
                <w:sz w:val="19"/>
                <w:szCs w:val="19"/>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BANK DETAILS (for freight T/T payment)</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Account Holder</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Bank</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State Bank of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Branch</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Start Up Hub Branch, Koramangala, Bengaluru</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Account No.</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44523788330</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IFSC</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SBIN0064074</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SWIFT / BIC</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SBININBB949</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Bank Address</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1st Floor, 117, 7th Block Industrial Layout,
Koramangala, Bengaluru – 560095,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Payment Reference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color w:val="185FA5"/>
                <w:sz w:val="19"/>
                <w:szCs w:val="19"/>
              </w:rPr>
              <w:t xml:space="preserve">Please quote DN No. [SC/DN/YYYY/DDMMNNN] in your T/T remarks.</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RBI Purpose Code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85FA5"/>
                <w:sz w:val="19"/>
                <w:szCs w:val="19"/>
              </w:rPr>
              <w:t xml:space="preserve">P0602 — enter in the "Purpose of Remittance" field of your T/T form.</w:t>
            </w:r>
          </w:p>
        </w:tc>
      </w:tr>
    </w:tbl>
    <w:p>
      <w:pPr>
        <w:spacing w:after="280" w:before="0"/>
      </w:pPr>
    </w:p>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8.  LEGAL TERMS &amp; DEFINITIONS</w:t>
            </w:r>
          </w:p>
        </w:tc>
      </w:tr>
    </w:tbl>
    <w:p>
      <w:pPr>
        <w:spacing w:before="0" w:after="80"/>
      </w:pPr>
    </w:p>
    <w:tbl>
      <w:tblPr>
        <w:tblW w:w="9638" w:type="dxa"/>
        <w:tblBorders>
          <w:top w:val="single" w:color="C0392B" w:sz="4"/>
          <w:left w:val="single" w:color="C0392B" w:sz="4"/>
          <w:bottom w:val="single" w:color="C0392B" w:sz="4"/>
          <w:right w:val="single" w:color="C0392B"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FF0F0"/>
            </w:pPr>
            <w:r>
              <w:rPr>
                <w:rFonts w:ascii="Aptos" w:cs="Aptos" w:eastAsia="Aptos" w:hAnsi="Aptos"/>
                <w:b/>
                <w:bCs/>
                <w:sz w:val="20"/>
                <w:szCs w:val="20"/>
                <w:color w:val="17233A"/>
              </w:rPr>
              <w:t>LEGAL TERMS</w:t>
            </w:r>
          </w:p>
          <w:p>
            <w:pPr>
              <w:spacing w:before="60" w:after="40"/>
              <w:ind w:left="180" w:right="180"/>
            </w:pPr>
            <w:r>
              <w:rPr>
                <w:rFonts w:ascii="Aptos" w:cs="Aptos" w:eastAsia="Aptos" w:hAnsi="Aptos"/>
                <w:i/>
                <w:sz w:val="17"/>
                <w:szCs w:val="17"/>
                <w:color w:val="5B6573"/>
              </w:rPr>
              <w:t xml:space="preserve">These terms govern all commercial obligations under this document.</w:t>
            </w:r>
          </w:p>
          <w:p>
            <w:pPr>
              <w:spacing w:before="40" w:after="40"/>
              <w:ind w:left="180" w:right="180"/>
            </w:pPr>
            <w:r>
              <w:rPr>
                <w:rFonts w:ascii="Aptos" w:cs="Aptos" w:eastAsia="Aptos" w:hAnsi="Aptos"/>
                <w:sz w:val="18"/>
                <w:szCs w:val="18"/>
                <w:color w:val="17233A"/>
                <w:b/>
                <w:bCs/>
              </w:rPr>
              <w:t xml:space="preserve">• Cancellation: </w:t>
            </w:r>
            <w:r>
              <w:rPr>
                <w:rFonts w:ascii="Aptos" w:cs="Aptos" w:eastAsia="Aptos" w:hAnsi="Aptos"/>
                <w:sz w:val="18"/>
                <w:szCs w:val="18"/>
                <w:color w:val="000000"/>
              </w:rPr>
              <w:t xml:space="preserve">Orders may not be cancelled after production commences. The Advance Payment is non-refundable once production commences. In the event of cancellation after production commences, NexaCrest's total recovery shall not exceed the Advance Payment plus 20% of the total FOB Order value. The parties agree this represents a genuine pre-estimate of NexaCrest's unrecoverable production costs, overhead, opportunity loss, and market price risk.</w:t>
            </w:r>
          </w:p>
          <w:p>
            <w:pPr>
              <w:spacing w:before="40" w:after="40"/>
              <w:ind w:left="180" w:right="180"/>
            </w:pPr>
            <w:r>
              <w:rPr>
                <w:rFonts w:ascii="Aptos" w:cs="Aptos" w:eastAsia="Aptos" w:hAnsi="Aptos"/>
                <w:sz w:val="18"/>
                <w:szCs w:val="18"/>
                <w:color w:val="17233A"/>
                <w:b/>
                <w:bCs/>
              </w:rPr>
              <w:t xml:space="preserve">• Limitation of Liability: </w:t>
            </w:r>
            <w:r>
              <w:rPr>
                <w:rFonts w:ascii="Aptos" w:cs="Aptos" w:eastAsia="Aptos" w:hAnsi="Aptos"/>
                <w:sz w:val="18"/>
                <w:szCs w:val="18"/>
                <w:color w:val="000000"/>
              </w:rPr>
              <w:t xml:space="preserve">NexaCrest's maximum liability under this document shall not exceed the total FOB Order value stated herein. NexaCrest is not liable for any indirect, consequential, or punitive damages, or for loss of profit or business.</w:t>
            </w:r>
          </w:p>
          <w:p>
            <w:pPr>
              <w:spacing w:before="40" w:after="40"/>
              <w:ind w:left="180" w:right="180"/>
            </w:pPr>
            <w:r>
              <w:rPr>
                <w:rFonts w:ascii="Aptos" w:cs="Aptos" w:eastAsia="Aptos" w:hAnsi="Aptos"/>
                <w:sz w:val="18"/>
                <w:szCs w:val="18"/>
                <w:color w:val="17233A"/>
                <w:b/>
                <w:bCs/>
              </w:rPr>
              <w:t xml:space="preserve">• Production Timeline: </w:t>
            </w:r>
            <w:r>
              <w:rPr>
                <w:rFonts w:ascii="Aptos" w:cs="Aptos" w:eastAsia="Aptos" w:hAnsi="Aptos"/>
                <w:sz w:val="18"/>
                <w:szCs w:val="18"/>
                <w:color w:val="000000"/>
              </w:rPr>
              <w:t xml:space="preserve">The estimated shipment timeline stated in this document is indicative only and does not constitute a guaranteed delivery date. NexaCrest will make every effort to meet the estimated timeline. NexaCrest will notify the Buyer in writing within 5 Business Days of becoming aware of any delay to production or shipment, and will provide a revised estimated timeline within 10 Business Days of such notification.</w:t>
            </w:r>
            <w:r>
              <w:rPr>
                <w:rFonts w:ascii="Aptos" w:cs="Aptos" w:eastAsia="Aptos" w:hAnsi="Aptos"/>
                <w:sz w:val="18"/>
                <w:szCs w:val="18"/>
                <w:color w:val="000000"/>
              </w:rPr>
              <w:t xml:space="preserve"/>
            </w:r>
          </w:p>
          <w:p>
            <w:pPr>
              <w:spacing w:before="40" w:after="40"/>
              <w:ind w:left="180" w:right="180"/>
            </w:pPr>
            <w:r>
              <w:rPr>
                <w:rFonts w:ascii="Aptos" w:cs="Aptos" w:eastAsia="Aptos" w:hAnsi="Aptos"/>
                <w:sz w:val="18"/>
                <w:szCs w:val="18"/>
                <w:color w:val="17233A"/>
                <w:b/>
                <w:bCs/>
              </w:rPr>
              <w:t xml:space="preserve">• Re-inspection and Loading: </w:t>
            </w:r>
            <w:r>
              <w:rPr>
                <w:rFonts w:ascii="Aptos" w:cs="Aptos" w:eastAsia="Aptos" w:hAnsi="Aptos"/>
                <w:sz w:val="18"/>
                <w:szCs w:val="18"/>
                <w:color w:val="000000"/>
              </w:rPr>
              <w:t xml:space="preserve">NexaCrest shall load only the confirmed passed pieces. Confirmed failed pieces shall be excluded from the shipment. The Commercial Invoice and all payment obligations shall be adjusted to reflect only the pieces actually loaded and shipped. Neither Party shall have any further claim in respect of the excluded pieces.</w:t>
            </w:r>
          </w:p>
          <w:p>
            <w:pPr>
              <w:spacing w:before="40" w:after="40"/>
              <w:ind w:left="180" w:right="180"/>
            </w:pPr>
            <w:r>
              <w:rPr>
                <w:rFonts w:ascii="Aptos" w:cs="Aptos" w:eastAsia="Aptos" w:hAnsi="Aptos"/>
                <w:sz w:val="18"/>
                <w:szCs w:val="18"/>
                <w:color w:val="17233A"/>
                <w:b/>
                <w:bCs/>
              </w:rPr>
              <w:t xml:space="preserve">• Structural Defect Claims: </w:t>
            </w:r>
            <w:r>
              <w:rPr>
                <w:rFonts w:ascii="Aptos" w:cs="Aptos" w:eastAsia="Aptos" w:hAnsi="Aptos"/>
                <w:sz w:val="18"/>
                <w:szCs w:val="18"/>
                <w:color w:val="000000"/>
              </w:rPr>
              <w:t xml:space="preserve">NexaCrest confirms to the best of its knowledge that Products are free from structural defects present at Loading and not detectable at Pre-loading Inspection. No claim accepted for: (a) conditions detectable at Pre-loading Inspection; (b) damage from Buyer's processing, cutting, handling, or installation; or (c) natural stone characteristics. Any claim must be raised by the Buyer in writing with photographic evidence within 14 Calendar Days of confirmed receipt at Buyer's premises. No claim accepted after this period.</w:t>
            </w:r>
          </w:p>
          <w:p>
            <w:pPr>
              <w:spacing w:before="40" w:after="40"/>
              <w:ind w:left="180" w:right="180"/>
            </w:pPr>
            <w:r>
              <w:rPr>
                <w:rFonts w:ascii="Aptos" w:cs="Aptos" w:eastAsia="Aptos" w:hAnsi="Aptos"/>
                <w:sz w:val="18"/>
                <w:szCs w:val="18"/>
                <w:color w:val="17233A"/>
                <w:b/>
                <w:bCs/>
              </w:rPr>
              <w:t xml:space="preserve">• Governing Law and Dispute Resolution: </w:t>
            </w:r>
            <w:r>
              <w:rPr>
                <w:rFonts w:ascii="Aptos" w:cs="Aptos" w:eastAsia="Aptos" w:hAnsi="Aptos"/>
                <w:sz w:val="18"/>
                <w:szCs w:val="18"/>
                <w:color w:val="000000"/>
              </w:rPr>
              <w:t xml:space="preserve">This document is governed by the laws of India. Any dispute shall first be notified in writing by email or WhatsApp. Both parties shall attempt amicable resolution within 45 Calendar Days of written notice. If unresolved, the dispute shall be referred to binding arbitration under the Arbitration and Conciliation Act, 1996. Seat: Bengaluru, Karnataka, India. Language: English. The United Nations Convention on Contracts for the International Sale of Goods does not apply.</w:t>
            </w:r>
          </w:p>
        </w:tc>
      </w:tr>
    </w:tbl>
    <w:p>
      <w:pPr>
        <w:spacing w:before="0" w:after="40"/>
      </w:pPr>
    </w:p>
    <w:tbl>
      <w:tblPr>
        <w:tblW w:w="9638" w:type="dxa"/>
        <w:tblBorders>
          <w:top w:val="single" w:color="1A5276" w:sz="4"/>
          <w:left w:val="single" w:color="1A5276" w:sz="4"/>
          <w:bottom w:val="single" w:color="1A5276" w:sz="4"/>
          <w:right w:val="single" w:color="1A5276"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0F4FF"/>
            </w:pPr>
            <w:r>
              <w:rPr>
                <w:rFonts w:ascii="Aptos" w:cs="Aptos" w:eastAsia="Aptos" w:hAnsi="Aptos"/>
                <w:b/>
                <w:bCs/>
                <w:sz w:val="20"/>
                <w:szCs w:val="20"/>
                <w:color w:val="17233A"/>
              </w:rPr>
              <w:t>DEFINITIONS</w:t>
            </w:r>
          </w:p>
          <w:p>
            <w:pPr>
              <w:spacing w:before="60" w:after="40"/>
              <w:ind w:left="180" w:right="180"/>
            </w:pPr>
            <w:r>
              <w:rPr>
                <w:rFonts w:ascii="Aptos" w:cs="Aptos" w:eastAsia="Aptos" w:hAnsi="Aptos"/>
                <w:i/>
                <w:sz w:val="17"/>
                <w:szCs w:val="17"/>
                <w:color w:val="5B6573"/>
              </w:rPr>
              <w:t xml:space="preserve">The following terms have the meanings given below wherever they appear in this document.</w:t>
            </w:r>
          </w:p>
          <w:p>
            <w:pPr>
              <w:spacing w:before="40" w:after="40"/>
              <w:ind w:left="180" w:right="180"/>
            </w:pPr>
            <w:r>
              <w:rPr>
                <w:rFonts w:ascii="Aptos" w:cs="Aptos" w:eastAsia="Aptos" w:hAnsi="Aptos"/>
                <w:sz w:val="18"/>
                <w:szCs w:val="18"/>
                <w:color w:val="17233A"/>
                <w:b/>
                <w:bCs/>
              </w:rPr>
              <w:t xml:space="preserve">• NexaCrest: </w:t>
            </w:r>
            <w:r>
              <w:rPr>
                <w:rFonts w:ascii="Aptos" w:cs="Aptos" w:eastAsia="Aptos" w:hAnsi="Aptos"/>
                <w:sz w:val="18"/>
                <w:szCs w:val="18"/>
                <w:color w:val="000000"/>
              </w:rPr>
              <w:t xml:space="preserve">In this document, "NexaCrest International Private Limited" is referred to as "NexaCrest". Both names refer to the same legal entity.</w:t>
            </w:r>
          </w:p>
          <w:p>
            <w:pPr>
              <w:spacing w:before="40" w:after="40"/>
              <w:ind w:left="180" w:right="180"/>
            </w:pPr>
            <w:r>
              <w:rPr>
                <w:rFonts w:ascii="Aptos" w:cs="Aptos" w:eastAsia="Aptos" w:hAnsi="Aptos"/>
                <w:sz w:val="18"/>
                <w:szCs w:val="18"/>
                <w:color w:val="17233A"/>
                <w:b/>
                <w:bCs/>
              </w:rPr>
              <w:t xml:space="preserve">• T/T (Telegraphic Transfer): </w:t>
            </w:r>
            <w:r>
              <w:rPr>
                <w:rFonts w:ascii="Aptos" w:cs="Aptos" w:eastAsia="Aptos" w:hAnsi="Aptos"/>
                <w:sz w:val="18"/>
                <w:szCs w:val="18"/>
                <w:color w:val="000000"/>
              </w:rPr>
              <w:t xml:space="preserve">an electronic bank wire transfer sent directly from the Buyer's bank to NexaCrest's designated bank account at State Bank of India as stated in this document.</w:t>
            </w:r>
          </w:p>
          <w:p>
            <w:pPr>
              <w:spacing w:before="40" w:after="40"/>
              <w:ind w:left="180" w:right="180"/>
            </w:pPr>
            <w:r>
              <w:rPr>
                <w:rFonts w:ascii="Aptos" w:cs="Aptos" w:eastAsia="Aptos" w:hAnsi="Aptos"/>
                <w:sz w:val="18"/>
                <w:szCs w:val="18"/>
                <w:color w:val="17233A"/>
                <w:b/>
                <w:bCs/>
              </w:rPr>
              <w:t xml:space="preserve">• Payment Cleared: </w:t>
            </w:r>
            <w:r>
              <w:rPr>
                <w:rFonts w:ascii="Aptos" w:cs="Aptos" w:eastAsia="Aptos" w:hAnsi="Aptos"/>
                <w:sz w:val="18"/>
                <w:szCs w:val="18"/>
                <w:color w:val="000000"/>
              </w:rPr>
              <w:t xml:space="preserve">the relevant payment confirmed as actually credited to NexaCrest's bank account by NexaCrest's accounts team. A Remittance Copy alone does not constitute Payment Cleared.</w:t>
            </w:r>
          </w:p>
          <w:p>
            <w:pPr>
              <w:spacing w:before="40" w:after="40"/>
              <w:ind w:left="180" w:right="180"/>
            </w:pPr>
            <w:r>
              <w:rPr>
                <w:rFonts w:ascii="Aptos" w:cs="Aptos" w:eastAsia="Aptos" w:hAnsi="Aptos"/>
                <w:sz w:val="18"/>
                <w:szCs w:val="18"/>
                <w:color w:val="17233A"/>
                <w:b/>
                <w:bCs/>
              </w:rPr>
              <w:t xml:space="preserve">• Remittance Copy: </w:t>
            </w:r>
            <w:r>
              <w:rPr>
                <w:rFonts w:ascii="Aptos" w:cs="Aptos" w:eastAsia="Aptos" w:hAnsi="Aptos"/>
                <w:sz w:val="18"/>
                <w:szCs w:val="18"/>
                <w:color w:val="000000"/>
              </w:rPr>
              <w:t xml:space="preserve">the bank transfer receipt or SWIFT confirmation sent by the Buyer as evidence of transfer. Receipt of a Remittance Copy by NexaCrest does not constitute Payment Cleared.</w:t>
            </w:r>
          </w:p>
          <w:p>
            <w:pPr>
              <w:spacing w:before="40" w:after="40"/>
              <w:ind w:left="180" w:right="180"/>
            </w:pPr>
            <w:r>
              <w:rPr>
                <w:rFonts w:ascii="Aptos" w:cs="Aptos" w:eastAsia="Aptos" w:hAnsi="Aptos"/>
                <w:sz w:val="18"/>
                <w:szCs w:val="18"/>
                <w:color w:val="17233A"/>
                <w:b/>
                <w:bCs/>
              </w:rPr>
              <w:t xml:space="preserve">• Advance Payment: </w:t>
            </w:r>
            <w:r>
              <w:rPr>
                <w:rFonts w:ascii="Aptos" w:cs="Aptos" w:eastAsia="Aptos" w:hAnsi="Aptos"/>
                <w:sz w:val="18"/>
                <w:szCs w:val="18"/>
                <w:color w:val="000000"/>
              </w:rPr>
              <w:t xml:space="preserve">the advance percentage of the FOB Order value paid by T/T before production commences, as stated in this document.</w:t>
            </w:r>
          </w:p>
          <w:p>
            <w:pPr>
              <w:spacing w:before="40" w:after="40"/>
              <w:ind w:left="180" w:right="180"/>
            </w:pPr>
            <w:r>
              <w:rPr>
                <w:rFonts w:ascii="Aptos" w:cs="Aptos" w:eastAsia="Aptos" w:hAnsi="Aptos"/>
                <w:sz w:val="18"/>
                <w:szCs w:val="18"/>
                <w:color w:val="17233A"/>
                <w:b/>
                <w:bCs/>
              </w:rPr>
              <w:t xml:space="preserve">• Balance Payment: </w:t>
            </w:r>
            <w:r>
              <w:rPr>
                <w:rFonts w:ascii="Aptos" w:cs="Aptos" w:eastAsia="Aptos" w:hAnsi="Aptos"/>
                <w:sz w:val="18"/>
                <w:szCs w:val="18"/>
                <w:color w:val="000000"/>
              </w:rPr>
              <w:t xml:space="preserve">the remaining FOB Order value after the Advance Payment, paid by T/T as per the payment trigger stated in this document.</w:t>
            </w:r>
          </w:p>
          <w:p>
            <w:pPr>
              <w:spacing w:before="40" w:after="40"/>
              <w:ind w:left="180" w:right="180"/>
            </w:pPr>
            <w:r>
              <w:rPr>
                <w:rFonts w:ascii="Aptos" w:cs="Aptos" w:eastAsia="Aptos" w:hAnsi="Aptos"/>
                <w:sz w:val="18"/>
                <w:szCs w:val="18"/>
                <w:color w:val="17233A"/>
                <w:b/>
                <w:bCs/>
              </w:rPr>
              <w:t xml:space="preserve">• Debit Note: </w:t>
            </w:r>
            <w:r>
              <w:rPr>
                <w:rFonts w:ascii="Aptos" w:cs="Aptos" w:eastAsia="Aptos" w:hAnsi="Aptos"/>
                <w:sz w:val="18"/>
                <w:szCs w:val="18"/>
                <w:color w:val="000000"/>
              </w:rPr>
              <w:t xml:space="preserve">a written demand issued by NexaCrest for any agreed cost additional to the FOB Order value, including but not limited to freight, cargo insurance, inspection fees, or certificate fees. Each Debit Note must be confirmed as Payment Cleared before NexaCrest proceeds with the related activity.</w:t>
            </w:r>
          </w:p>
          <w:p>
            <w:pPr>
              <w:spacing w:before="40" w:after="40"/>
              <w:ind w:left="180" w:right="180"/>
            </w:pPr>
            <w:r>
              <w:rPr>
                <w:rFonts w:ascii="Aptos" w:cs="Aptos" w:eastAsia="Aptos" w:hAnsi="Aptos"/>
                <w:sz w:val="18"/>
                <w:szCs w:val="18"/>
                <w:color w:val="17233A"/>
                <w:b/>
                <w:bCs/>
              </w:rPr>
              <w:t xml:space="preserve">• Loading: </w:t>
            </w:r>
            <w:r>
              <w:rPr>
                <w:rFonts w:ascii="Aptos" w:cs="Aptos" w:eastAsia="Aptos" w:hAnsi="Aptos"/>
                <w:sz w:val="18"/>
                <w:szCs w:val="18"/>
                <w:color w:val="000000"/>
              </w:rPr>
              <w:t xml:space="preserve">the physical act of stuffing Products into the container at NexaCrest's designated processing facility. Loading is distinct from Shipment.</w:t>
            </w:r>
          </w:p>
          <w:p>
            <w:pPr>
              <w:spacing w:before="40" w:after="40"/>
              <w:ind w:left="180" w:right="180"/>
            </w:pPr>
            <w:r>
              <w:rPr>
                <w:rFonts w:ascii="Aptos" w:cs="Aptos" w:eastAsia="Aptos" w:hAnsi="Aptos"/>
                <w:sz w:val="18"/>
                <w:szCs w:val="18"/>
                <w:color w:val="17233A"/>
                <w:b/>
                <w:bCs/>
              </w:rPr>
              <w:t xml:space="preserve">• Shipment: </w:t>
            </w:r>
            <w:r>
              <w:rPr>
                <w:rFonts w:ascii="Aptos" w:cs="Aptos" w:eastAsia="Aptos" w:hAnsi="Aptos"/>
                <w:sz w:val="18"/>
                <w:szCs w:val="18"/>
                <w:color w:val="000000"/>
              </w:rPr>
              <w:t xml:space="preserve">the departure of the vessel from the port of loading. Shipment is distinct from Loading and from Delivery.</w:t>
            </w:r>
          </w:p>
          <w:p>
            <w:pPr>
              <w:spacing w:before="40" w:after="40"/>
              <w:ind w:left="180" w:right="180"/>
            </w:pPr>
            <w:r>
              <w:rPr>
                <w:rFonts w:ascii="Aptos" w:cs="Aptos" w:eastAsia="Aptos" w:hAnsi="Aptos"/>
                <w:sz w:val="18"/>
                <w:szCs w:val="18"/>
                <w:color w:val="17233A"/>
                <w:b/>
                <w:bCs/>
              </w:rPr>
              <w:t xml:space="preserve">• FCL (Full Container Load): </w:t>
            </w:r>
            <w:r>
              <w:rPr>
                <w:rFonts w:ascii="Aptos" w:cs="Aptos" w:eastAsia="Aptos" w:hAnsi="Aptos"/>
                <w:sz w:val="18"/>
                <w:szCs w:val="18"/>
                <w:color w:val="000000"/>
              </w:rPr>
              <w:t xml:space="preserve">a shipment occupying one complete container, approximately 24-27 MT including packing. Minimum order quantity is 1 FCL.</w:t>
            </w:r>
          </w:p>
          <w:p>
            <w:pPr>
              <w:spacing w:before="40" w:after="40"/>
              <w:ind w:left="180" w:right="180"/>
            </w:pPr>
            <w:r>
              <w:rPr>
                <w:rFonts w:ascii="Aptos" w:cs="Aptos" w:eastAsia="Aptos" w:hAnsi="Aptos"/>
                <w:sz w:val="18"/>
                <w:szCs w:val="18"/>
                <w:color w:val="17233A"/>
                <w:b/>
                <w:bCs/>
              </w:rPr>
              <w:t xml:space="preserve">• Production Commences: </w:t>
            </w:r>
            <w:r>
              <w:rPr>
                <w:rFonts w:ascii="Aptos" w:cs="Aptos" w:eastAsia="Aptos" w:hAnsi="Aptos"/>
                <w:sz w:val="18"/>
                <w:szCs w:val="18"/>
                <w:color w:val="000000"/>
              </w:rPr>
              <w:t xml:space="preserve">the point at which NexaCrest begins manufacturing the Products for this Order. Production commences only after the Advance Payment is confirmed as Payment Cleared. The Advance Payment is non-refundable from this point.</w:t>
            </w:r>
          </w:p>
          <w:p>
            <w:pPr>
              <w:spacing w:before="40" w:after="40"/>
              <w:ind w:left="180" w:right="180"/>
            </w:pPr>
            <w:r>
              <w:rPr>
                <w:rFonts w:ascii="Aptos" w:cs="Aptos" w:eastAsia="Aptos" w:hAnsi="Aptos"/>
                <w:sz w:val="18"/>
                <w:szCs w:val="18"/>
                <w:color w:val="17233A"/>
                <w:b/>
                <w:bCs/>
              </w:rPr>
              <w:t xml:space="preserve">• Shipment Readiness Confirmation: </w:t>
            </w:r>
            <w:r>
              <w:rPr>
                <w:rFonts w:ascii="Aptos" w:cs="Aptos" w:eastAsia="Aptos" w:hAnsi="Aptos"/>
                <w:sz w:val="18"/>
                <w:szCs w:val="18"/>
                <w:color w:val="000000"/>
              </w:rPr>
              <w:t xml:space="preserve">a written notification from NexaCrest by email or WhatsApp confirming that the Products have passed quality inspection (NexaCrest's internal quality check, or third-party Pre-loading Inspection where applicable), are fully packed, and are ready for vessel booking.</w:t>
            </w:r>
          </w:p>
        </w:tc>
      </w:tr>
    </w:tbl>
    <w:p>
      <w:pPr>
        <w:spacing w:before="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00"/>
            </w:pPr>
            <w:r>
              <w:rPr>
                <w:rFonts w:ascii="Aptos" w:cs="Aptos" w:eastAsia="Aptos" w:hAnsi="Aptos"/>
                <w:b/>
                <w:bCs/>
                <w:color w:val="17233A"/>
                <w:sz w:val="20"/>
                <w:szCs w:val="20"/>
              </w:rPr>
              <w:t xml:space="preserve">NexaCrest International Private Limited</w:t>
            </w:r>
          </w:p>
          <w:p>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152400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8097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19075"/>
                          </a:xfrm>
                          <a:prstGeom prst="rect">
                            <a:avLst/>
                          </a:prstGeom>
                        </pic:spPr>
                      </pic:pic>
                    </a:graphicData>
                  </a:graphic>
                </wp:inline>
              </w:drawing>
            </w:r>
          </w:p>
          <w:p>
            <w:pPr>
              <w:spacing w:after="100"/>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1047750"/>
                          </a:xfrm>
                          <a:prstGeom prst="rect">
                            <a:avLst/>
                          </a:prstGeom>
                        </pic:spPr>
                      </pic:pic>
                    </a:graphicData>
                  </a:graphic>
                </wp:inline>
              </w:drawing>
            </w:r>
          </w:p>
          <w:p>
            <w:pPr>
              <w:pBdr>
                <w:bottom w:val="single"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2026-09-11T03:52:51.827Z</dcterms:created>
  <dcterms:modified xsi:type="dcterms:W3CDTF">2026-09-11T03:52:51.827Z</dcterms:modified>
</cp:coreProperties>
</file>

<file path=docProps/custom.xml><?xml version="1.0" encoding="utf-8"?>
<Properties xmlns="http://schemas.openxmlformats.org/officeDocument/2006/custom-properties" xmlns:vt="http://schemas.openxmlformats.org/officeDocument/2006/docPropsVTypes"/>
</file>