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26"/>
                <w:szCs w:val="26"/>
              </w:rPr>
              <w:t xml:space="preserve">NEXACREST INTERNATIONAL PRIVATE LIMITED</w:t>
            </w:r>
          </w:p>
          <w:p>
            <w:pPr>
              <w:spacing w:after="4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36"/>
                <w:szCs w:val="36"/>
              </w:rPr>
              <w:t xml:space="preserve">COO PREPARATION SHEET</w:t>
            </w:r>
          </w:p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5B6573"/>
                <w:sz w:val="20"/>
                <w:szCs w:val="20"/>
              </w:rPr>
              <w:t xml:space="preserve">CERTIFICATE OF ORIGIN — INTERNAL USE ONLY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1D6FA8" w:sz="12" w:space="0"/>
              <w:bottom w:val="single" w:color="D0D8E4" w:sz="2"/>
              <w:right w:val="single" w:color="D0D8E4" w:sz="2"/>
            </w:tcBorders>
            <w:shd w:fill="E6F1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ptos" w:cs="Aptos" w:eastAsia="Aptos" w:hAnsi="Aptos"/>
                <w:b/>
                <w:bCs/>
                <w:color w:val="042C53"/>
                <w:sz w:val="19"/>
                <w:szCs w:val="19"/>
              </w:rPr>
              <w:t xml:space="preserve">Internal use only — not sent to buyer. </w:t>
            </w:r>
            <w:r>
              <w:rPr>
                <w:rFonts w:ascii="Aptos" w:cs="Aptos" w:eastAsia="Aptos" w:hAnsi="Aptos"/>
                <w:i/>
                <w:iCs/>
                <w:color w:val="185FA5"/>
                <w:sz w:val="18"/>
                <w:szCs w:val="18"/>
              </w:rPr>
              <w:t xml:space="preserve">Complete this sheet before requesting COO from CAPEXIL. Hand to your CHA along with the documents listed below. COO is issued by CAPEXIL — not by NexaCrest.</w:t>
            </w:r>
          </w:p>
        </w:tc>
      </w:tr>
    </w:tbl>
    <w:p>
      <w:pPr>
        <w:spacing w:after="1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SHIPMENT REF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[SC/PI/YYYY/DDMMNNN]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DATE PREPARED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[DD Month YYYY]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COO TYPE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[GSP Form A  /  Non-preferential — as confirmed by buyer]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BUYER INQUIRY REF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[NC/SC/YYYY/DDMMNNN]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1. DOCUMENTS TO SUBMIT TO CAPEXIL / CHA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Tick each item once collected and ready. Do not apply for COO until all mandatory items are ticked.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3138"/>
      </w:tblGrid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What to check before submitting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Where it comes from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Commercial Invoice (signed 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Must be digitally authorised. Values, HS code, buyer/seller details must be final — no estimates.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NexaCrest_05_CommercialInvoice.docx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Packing List (signed 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Crate count, weights, CBM must be actuals — not estimates from PI.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NexaCrest_04_PackingList.docx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Fumigation Certificate (copy)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Provided as standard with every NexaCrest shipment — collect from fumigation agency and include with COO application.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Fumigation agency — standard every shipment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Shipping Bill (copy)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Filed by CHA with Indian customs. CHA provides this — do not apply for COO before Shipping Bill is filed.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CHA provides after filing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Bill of Lading (copy)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BL number, date, vessel name, port of loading/discharge must match BL, CI, and PL exactly.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Shipping line / CHA provides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RCMC Certificate (copy)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NexaCrest RCMC issued by CAPEXIL — already obtained. Check validity date has not expired.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500A"/>
                <w:sz w:val="18"/>
                <w:szCs w:val="18"/>
              </w:rPr>
              <w:t xml:space="preserve">Already obtained — check validity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IEC Certificate (copy)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NexaCrest IEC — AAKCN8733G — already obtained.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500A"/>
                <w:sz w:val="18"/>
                <w:szCs w:val="18"/>
              </w:rPr>
              <w:t xml:space="preserve">Already obtained</w:t>
            </w:r>
          </w:p>
        </w:tc>
      </w:tr>
      <w:tr>
        <w:tc>
          <w:tcPr>
            <w:tcW w:type="dxa" w:w="5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☐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GSP Declaration (if GSP Form A)</w:t>
            </w:r>
          </w:p>
        </w:tc>
        <w:tc>
          <w:tcPr>
            <w:tcW w:type="dxa" w:w="32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color w:val="5B6573"/>
                <w:sz w:val="18"/>
                <w:szCs w:val="18"/>
              </w:rPr>
              <w:t xml:space="preserve">Self-declaration of origin criteria — required for GSP Form A only. CHA will advise the format.</w:t>
            </w:r>
          </w:p>
        </w:tc>
        <w:tc>
          <w:tcPr>
            <w:tcW w:type="dxa" w:w="31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7233A"/>
                <w:sz w:val="18"/>
                <w:szCs w:val="18"/>
              </w:rPr>
              <w:t xml:space="preserve">Required for GSP Form A only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2. INFORMATION REQUIRED ON THE COO APPLICATION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All values below must match the Commercial Invoice and Packing List exactly. Any mismatch causes rejection.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Value for this shipment *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Source document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Exporter — Legal Name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NexaCrest International Private Limited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never changes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Exporter — Registered Address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No. 33, T Ramaiah Garden, 2 Hulimavu Village, Hulimavu, Bangalore South, Bengaluru, Karnataka – 560076, India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never changes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Exporter — GSTIN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29AAKCN8733G1ZZ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never changes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Exporter — IEC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AAKCN8733G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never changes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Consignee — Legal Name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[Buyer company name — must match CI exactly]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Commercial Invoice Section 2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Consignee — Address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[Full buyer address including postcode — must match CI]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Commercial Invoice Section 2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Consignee — Country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[destination country]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Commercial Invoice Section 2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Vessel Name &amp; Voyage No.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[From BL — e.g., MSC ANNA / V.2026-001]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Bill of Lading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Port of Loading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Chennai, India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never changes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Port of Discharge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[From BL — e.g., destination port / destination port]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Bill of Lading / Commercial Invoice Section 3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Bill of Lading No.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[From shipping line — e.g., MEDUB123456]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Bill of Lading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Bill of Lading Date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[Same as CI date — DD Month YYYY]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Bill of Lading / Commercial Invoice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Product Description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[e.g., Absolute Black Granite Memorial Monument, Mirror Polished — as on CI]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Commercial Invoice Section 4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HS Code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6802.93 (Worked Monumental Granite)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verify against CI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Country of Origin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India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Hardcoded — never changes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No. of Packages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[e.g., 10 Wooden Crates — must match PL and BL exactly]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Packing List Section 3 / BL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Gross Weight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[e.g., 24,500 kg — actual from Packing List]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Packing List Section 3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Net Weight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[e.g., 22,000 kg — actual from Packing List]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Packing List Section 3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Total CBM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[e.g., 10.08 m³ — actual from Packing List]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Packing List Section 3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FOB Value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[USD XXXXX.XX — must match CI FOB Value exactly]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Commercial Invoice Section 4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Invoice No. &amp; Date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[CI/YYYY/MMNNN — DD Month YYYY]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Commercial Invoice meta bar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Origin Criteria (GSP Form A only)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[Usually 'P' for wholly produced, or 'W/6802.93' for worked in India — CHA advises]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Required for GSP Form A only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Competent Authority Signature</w:t>
            </w:r>
          </w:p>
        </w:tc>
        <w:tc>
          <w:tcPr>
            <w:tcW w:type="dxa" w:w="34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Signed and stamped by CAPEXIL authorised officer — not by NexaCrest</w:t>
            </w:r>
          </w:p>
        </w:tc>
        <w:tc>
          <w:tcPr>
            <w:tcW w:type="dxa" w:w="3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CAPEXIL issues — not your responsibility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3. STEP-BY-STEP PROCESS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1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Confirm COO type with buyer (GSP Form A or non-preferential) — ideally at Quotation/PI stage.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2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Cargo packed. Packing List finalised with actuals. CHA files Shipping Bill with customs.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3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Shipment booked. Bill of Lading issued by shipping line.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4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Complete this preparation sheet — fill Section 2 values from CI, PL, and BL.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5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Collect all documents listed in Section 1. Tick each checkbox.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6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Submit complete package to CHA — or apply directly on CAPEXIL portal (www.capexil.com). CHA handles this in most cases.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7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CAPEXIL verifies and issues COO — typically 1–3 Calendar Days.</w:t>
            </w:r>
          </w:p>
        </w:tc>
      </w:tr>
      <w:tr>
        <w:tc>
          <w:tcPr>
            <w:tcW w:type="dxa" w:w="9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233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19"/>
                <w:szCs w:val="19"/>
              </w:rPr>
              <w:t xml:space="preserve">Step 8</w:t>
            </w:r>
          </w:p>
        </w:tc>
        <w:tc>
          <w:tcPr>
            <w:tcW w:type="dxa" w:w="87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COO received. Include with shipment documents sent to buyer (along with CI, PL, BL).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4. NEXACREST CAPEXIL REGISTRATION DETAILS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Prepared By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[Name of person completing this sheet]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RCMC Issuing Body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CAPEXIL — Chemicals and Allied Products Export Promotion Council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Member Company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NexaCrest International Private Limited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IEC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AAKCN8733G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RCMC Number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[Your RCMC number — from RCMC certificate]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RCMC Valid Until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[Check RCMC certificate for expiry date — renew before expiry]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CAPEXIL Portal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www.capexil.com — COO applications can be submitted online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CAPEXIL Office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Chennai Regional Office handles granite/stone exporters from Karnataka — confirm with CHA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8A6D1D" w:sz="12" w:space="0"/>
              <w:bottom w:val="single" w:color="D0D8E4" w:sz="2"/>
              <w:right w:val="single" w:color="D0D8E4" w:sz="2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ptos" w:cs="Aptos" w:eastAsia="Aptos" w:hAnsi="Aptos"/>
                <w:b/>
                <w:bCs/>
                <w:color w:val="8A6D1D"/>
                <w:sz w:val="19"/>
                <w:szCs w:val="19"/>
              </w:rPr>
              <w:t xml:space="preserve">⚠ Annual renewal: </w:t>
            </w:r>
            <w:r>
              <w:rPr>
                <w:rFonts w:ascii="Aptos" w:cs="Aptos" w:eastAsia="Aptos" w:hAnsi="Aptos"/>
                <w:color w:val="633806"/>
                <w:sz w:val="18"/>
                <w:szCs w:val="18"/>
              </w:rPr>
              <w:t xml:space="preserve">RCMC must be renewed annually. If RCMC expires, CAPEXIL cannot issue a COO — your shipment documents will be incomplete and customs clearance will fail. Set a reminder 60 days before expiry.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0a8049ebf87ef45b4bed6e0b3fe6819f6995b7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2026-09-11T03:52:52.328Z</dcterms:created>
  <dcterms:modified xsi:type="dcterms:W3CDTF">2026-09-11T03:52:52.328Z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