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BILL OF LADING INSTRUCTION SHEET</w:t>
            </w:r>
          </w:p>
          <w:p>
            <w:pPr>
              <w:jc w:val="right"/>
            </w:pPr>
            <w:r>
              <w:rPr>
                <w:rFonts w:ascii="Aptos" w:cs="Aptos" w:eastAsia="Aptos" w:hAnsi="Aptos"/>
                <w:b/>
                <w:bCs/>
                <w:color w:val="5B6573"/>
                <w:sz w:val="20"/>
                <w:szCs w:val="20"/>
              </w:rPr>
              <w:t xml:space="preserve">SHIPPING INSTRUCTION — FOR CHA / SHIPPING LINE</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1D6FA8" w:sz="12" w:space="0"/>
              <w:bottom w:val="single" w:color="D0D8E4" w:sz="2"/>
              <w:right w:val="single" w:color="D0D8E4" w:sz="2"/>
            </w:tcBorders>
            <w:shd w:fill="E6F1FB" w:val="clear"/>
            <w:tcMar>
              <w:top w:type="dxa" w:w="100"/>
              <w:left w:type="dxa" w:w="180"/>
              <w:bottom w:type="dxa" w:w="100"/>
              <w:right w:type="dxa" w:w="180"/>
            </w:tcMar>
          </w:tcPr>
          <w:p>
            <w:r>
              <w:rPr>
                <w:rFonts w:ascii="Aptos" w:cs="Aptos" w:eastAsia="Aptos" w:hAnsi="Aptos"/>
                <w:b/>
                <w:bCs/>
                <w:color w:val="042C53"/>
                <w:sz w:val="19"/>
                <w:szCs w:val="19"/>
              </w:rPr>
              <w:t xml:space="preserve">Send this sheet to your CHA or shipping line BEFORE shipment booking is confirmed. </w:t>
            </w:r>
            <w:r>
              <w:rPr>
                <w:rFonts w:ascii="Aptos" w:cs="Aptos" w:eastAsia="Aptos" w:hAnsi="Aptos"/>
                <w:i/>
                <w:iCs/>
                <w:color w:val="185FA5"/>
                <w:sz w:val="18"/>
                <w:szCs w:val="18"/>
              </w:rPr>
              <w:t xml:space="preserve">All details must match the Commercial Invoice and Packing List exactly. Any mismatch on the issued BL is expensive and time-consuming to correct — amendments after BL issuance attract charges and delays.</w:t>
            </w:r>
          </w:p>
        </w:tc>
      </w:tr>
    </w:tbl>
    <w:p>
      <w:pPr>
        <w:spacing w:after="1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BL INSTRUCTION NO. *</w:t>
            </w:r>
          </w:p>
          <w:p>
            <w:r>
              <w:rPr>
                <w:rFonts w:ascii="Aptos" w:cs="Aptos" w:eastAsia="Aptos" w:hAnsi="Aptos"/>
                <w:b/>
                <w:bCs/>
                <w:color w:val="17233A"/>
                <w:sz w:val="20"/>
                <w:szCs w:val="20"/>
              </w:rPr>
              <w:t xml:space="preserve">[SC/BLI/YYYY/DDMMNNN]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REFERENCE *</w:t>
            </w:r>
          </w:p>
          <w:p>
            <w:r>
              <w:rPr>
                <w:rFonts w:ascii="Aptos" w:cs="Aptos" w:eastAsia="Aptos" w:hAnsi="Aptos"/>
                <w:b/>
                <w:bCs/>
                <w:color w:val="17233A"/>
                <w:sz w:val="20"/>
                <w:szCs w:val="20"/>
              </w:rPr>
              <w:t xml:space="preserve">[SC/PI/YYYY/DDMMNNN]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SHIPPER / EXPORTER  (appears on BL exactly as written)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Company Name</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NEXACREST INTERNATIONAL PRIVATE LIMITED</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Address Line 1</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val="false"/>
                <w:iCs w:val="false"/>
                <w:color w:val="000000"/>
                <w:sz w:val="19"/>
                <w:szCs w:val="19"/>
              </w:rPr>
              <w:t xml:space="preserve">No. 33, T Ramaiah Garden, 2 Hulimavu Village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Address Line 2</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val="false"/>
                <w:iCs w:val="false"/>
                <w:color w:val="000000"/>
                <w:sz w:val="19"/>
                <w:szCs w:val="19"/>
              </w:rPr>
              <w:t xml:space="preserve">Hulimavu, Bangalore South, Bengaluru – 560076</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Country</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India</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GSTIN</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29AAKCN8733G1ZZ</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IEC</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AAKCN8733G</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Contact *</w:t>
            </w:r>
            <w:r>
              <w:rPr>
                <w:rFonts w:ascii="Aptos" w:cs="Aptos" w:eastAsia="Aptos" w:hAnsi="Aptos"/>
                <w:b/>
                <w:bCs/>
                <w:color w:val="C0392B"/>
                <w:sz w:val="19"/>
                <w:szCs w:val="19"/>
              </w:rPr>
              <w:t xml:space="preserve"/>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Cs w:val="false"/>
                <w:color w:val="000000"/>
                <w:sz w:val="19"/>
                <w:szCs w:val="19"/>
              </w:rPr>
              <w:t xml:space="preserve">Gulmohar Sontakke — Founder &amp; Managing Director</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Phone *</w:t>
            </w:r>
            <w:r>
              <w:rPr>
                <w:rFonts w:ascii="Aptos" w:cs="Aptos" w:eastAsia="Aptos" w:hAnsi="Aptos"/>
                <w:b/>
                <w:bCs/>
                <w:color w:val="C0392B"/>
                <w:sz w:val="19"/>
                <w:szCs w:val="19"/>
              </w:rPr>
              <w:t xml:space="preserve"/>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Cs w:val="false"/>
                <w:color w:val="000000"/>
                <w:sz w:val="19"/>
                <w:szCs w:val="19"/>
              </w:rPr>
              <w:t xml:space="preserve">+91-7676463030</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Email *</w:t>
            </w:r>
            <w:r>
              <w:rPr>
                <w:rFonts w:ascii="Aptos" w:cs="Aptos" w:eastAsia="Aptos" w:hAnsi="Aptos"/>
                <w:b/>
                <w:bCs/>
                <w:color w:val="C0392B"/>
                <w:sz w:val="19"/>
                <w:szCs w:val="19"/>
              </w:rPr>
              <w:t xml:space="preserve"/>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Cs w:val="false"/>
                <w:color w:val="000000"/>
                <w:sz w:val="19"/>
                <w:szCs w:val="19"/>
              </w:rPr>
              <w:t xml:space="preserve">gulmohar.sontakke@nexacrestinternational.com</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CONSIGNEE  (appears on BL exactly as written)</w:t>
            </w:r>
          </w:p>
        </w:tc>
      </w:tr>
    </w:tbl>
    <w:p>
      <w:pPr>
        <w:spacing w:after="80" w:before="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Consignee *</w:t>
            </w:r>
          </w:p>
        </w:tc>
        <w:tc>
          <w:tcPr>
            <w:tcW w:w="6758" w:type="dxa"/>
            <w:shd w:val="clear" w:color="auto" w:fill="F9FAFB"/>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TO ORDER OF NEXACREST INTERNATIONAL PRIVATE LIMITED</w:t>
            </w:r>
          </w:p>
        </w:tc>
      </w:tr>
    </w:tbl>
    <w:p>
      <w:pPr>
        <w:spacing w:before="40" w:after="40"/>
        <w:jc w:val="center"/>
      </w:pPr>
      <w:r>
        <w:rPr>
          <w:rFonts w:ascii="Aptos" w:cs="Aptos" w:eastAsia="Aptos" w:hAnsi="Aptos"/>
          <w:b/>
          <w:bCs/>
          <w:sz w:val="22"/>
          <w:szCs w:val="22"/>
          <w:color w:val="17233A"/>
        </w:rPr>
        <w:t>— OR —</w:t>
      </w: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NOTIFY PARTY</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Same as consignee?</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
                <w:bCs w:val=""/>
                <w:i w:val=""/>
                <w:iCs w:val=""/>
                <w:color w:val="000000"/>
                <w:sz w:val="19"/>
                <w:szCs w:val="19"/>
              </w:rPr>
              <w:t xml:space="preserve"/>
            </w:r>
          </w:p>
          <w:p>
            <w:r>
              <w:rPr>
                <w:rFonts w:ascii="Aptos" w:cs="Aptos" w:eastAsia="Aptos" w:hAnsi="Aptos"/>
                <w:i/>
                <w:iCs/>
                <w:color w:val="5B6573"/>
                <w:sz w:val="17"/>
                <w:szCs w:val="17"/>
              </w:rPr>
              <w:t xml:space="preserve">If yes — write 'SAME AS CONSIGNEE'. If different (e.g., buyer's freight agent at destination), fill below.</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Notify Party Name</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[Name of freight agent / forwarder at destination — if different from consignee]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Address Line 1</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iCs/>
                <w:color w:val="5B6573"/>
                <w:sz w:val="19"/>
                <w:szCs w:val="19"/>
              </w:rPr>
              <w:t xml:space="preserve">[Street number and street name]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Address Line 2</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iCs/>
                <w:color w:val="5B6573"/>
                <w:sz w:val="19"/>
                <w:szCs w:val="19"/>
              </w:rPr>
              <w:t xml:space="preserve">[Area / district — if applicable]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City / Town</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iCs/>
                <w:color w:val="5B6573"/>
                <w:sz w:val="19"/>
                <w:szCs w:val="19"/>
              </w:rPr>
              <w:t xml:space="preserve">[City or town name]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Postcode</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iCs/>
                <w:color w:val="5B6573"/>
                <w:sz w:val="19"/>
                <w:szCs w:val="19"/>
              </w:rPr>
              <w:t xml:space="preserve">[Postcode]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Country</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iCs/>
                <w:color w:val="5B6573"/>
                <w:sz w:val="19"/>
                <w:szCs w:val="19"/>
              </w:rPr>
              <w:t xml:space="preserve">[Country]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Contact Person</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iCs/>
                <w:color w:val="5B6573"/>
                <w:sz w:val="19"/>
                <w:szCs w:val="19"/>
              </w:rPr>
              <w:t xml:space="preserve">[Name of freight agent / forwarder contact at destination]</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Phone</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iCs/>
                <w:color w:val="5B6573"/>
                <w:sz w:val="19"/>
                <w:szCs w:val="19"/>
              </w:rPr>
              <w:t xml:space="preserve">[+country code number]</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Email</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iCs/>
                <w:color w:val="5B6573"/>
                <w:sz w:val="19"/>
                <w:szCs w:val="19"/>
              </w:rPr>
              <w:t xml:space="preserve">[freight agent email — for arrival notices]</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SHIPMENT DETAILS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Port of Loading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Chennai, India</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Port of Discharge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destination port  /  destination port  /  destination port  /  destination port]</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Place of Delivery</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[If door delivery / inland destination — otherwise same as Port of Discharge]</w:t>
            </w:r>
          </w:p>
          <w:p>
            <w:r>
              <w:rPr>
                <w:rFonts w:ascii="Aptos" w:cs="Aptos" w:eastAsia="Aptos" w:hAnsi="Aptos"/>
                <w:i/>
                <w:iCs/>
                <w:color w:val="5B6573"/>
                <w:sz w:val="17"/>
                <w:szCs w:val="17"/>
              </w:rPr>
              <w:t xml:space="preserve">For FCL: usually same as port of discharge unless buyer has inland delivery arrangement</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Vessel Name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[To be confirmed by shipping line at time of booking]</w:t>
            </w:r>
          </w:p>
          <w:p>
            <w:r>
              <w:rPr>
                <w:rFonts w:ascii="Aptos" w:cs="Aptos" w:eastAsia="Aptos" w:hAnsi="Aptos"/>
                <w:i/>
                <w:iCs/>
                <w:color w:val="5B6573"/>
                <w:sz w:val="17"/>
                <w:szCs w:val="17"/>
              </w:rPr>
              <w:t xml:space="preserve">CHA provides this once booking is confirmed</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Voyage Number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[To be confirmed by shipping line]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ETD (Est. Departure)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[Expected date of departure from Chennai]</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ETA (Est. Arrival)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[Expected date of arrival at Port of Discharge]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Preferred Carrier</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val="false"/>
                <w:iCs w:val="false"/>
                <w:color w:val="5B6573"/>
                <w:sz w:val="19"/>
                <w:szCs w:val="19"/>
              </w:rPr>
              <w:t xml:space="preserve">[e.g., MSC / Maersk / CMA CGM / Hapag-Lloyd — leave blank if no preference; CHA will confirm best rate at time of booking]</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Free Days at Destination</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val="false"/>
                <w:iCs w:val="false"/>
                <w:color w:val="5B6573"/>
                <w:sz w:val="19"/>
                <w:szCs w:val="19"/>
              </w:rPr>
              <w:t xml:space="preserve">[Number of free days agreed with buyer before demurrage applies — confirm with buyer before booking]</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Also Notify (if required)</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 w:val="false"/>
                <w:iCs w:val="false"/>
                <w:color w:val="5B6573"/>
                <w:sz w:val="19"/>
                <w:szCs w:val="19"/>
              </w:rPr>
              <w:t xml:space="preserve">[Leave blank if not applicable — used when buyer's bank or insurance surveyor also needs arrival notice]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CONTAINER &amp; CARGO DETAILS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Container Load Type</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sz w:val="19"/>
                <w:szCs w:val="19"/>
              </w:rPr>
              <w:t xml:space="preserve">☐  FCL (Full Container Load)     ☐  LCL (Less than Container Load)</w:t>
            </w:r>
          </w:p>
          <w:p>
            <w:r>
              <w:rPr>
                <w:rFonts w:ascii="Aptos" w:cs="Aptos" w:eastAsia="Aptos" w:hAnsi="Aptos"/>
                <w:i/>
                <w:iCs/>
                <w:color w:val="5B6573"/>
                <w:sz w:val="17"/>
                <w:szCs w:val="17"/>
              </w:rPr>
              <w:t xml:space="preserve">FCL: entire container for one shipment. LCL: shared container — rates differ.</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Container Size</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sz w:val="19"/>
                <w:szCs w:val="19"/>
              </w:rPr>
              <w:t xml:space="preserve">☐  20ft Standard     ☐  40ft Standard     ☐  40ft High Cube</w:t>
            </w:r>
          </w:p>
          <w:p>
            <w:r>
              <w:rPr>
                <w:rFonts w:ascii="Aptos" w:cs="Aptos" w:eastAsia="Aptos" w:hAnsi="Aptos"/>
                <w:i/>
                <w:iCs/>
                <w:color w:val="5B6573"/>
                <w:sz w:val="17"/>
                <w:szCs w:val="17"/>
              </w:rPr>
              <w:t xml:space="preserve">Confirm with freight forwarder based on CBM from Packing List</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Container No.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[To be confirmed by shipping line after stuffing]</w:t>
            </w:r>
          </w:p>
          <w:p>
            <w:r>
              <w:rPr>
                <w:rFonts w:ascii="Aptos" w:cs="Aptos" w:eastAsia="Aptos" w:hAnsi="Aptos"/>
                <w:i/>
                <w:iCs/>
                <w:color w:val="5B6573"/>
                <w:sz w:val="17"/>
                <w:szCs w:val="17"/>
              </w:rPr>
              <w:t xml:space="preserve">Provided by CHA after container is sealed</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Stuffing Location *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sz w:val="19"/>
                <w:szCs w:val="19"/>
                <w:i/>
                <w:color w:val="5B6573"/>
              </w:rPr>
              <w:t xml:space="preserve">[Full address of factory / processing unit where container will be stuffed — CHA to arrange container placement here]</w:t>
            </w:r>
          </w:p>
          <w:p>
            <w:r>
              <w:rPr>
                <w:rFonts w:ascii="Aptos" w:cs="Aptos" w:eastAsia="Aptos" w:hAnsi="Aptos"/>
                <w:i/>
                <w:iCs/>
                <w:color w:val="5B6573"/>
                <w:sz w:val="17"/>
                <w:szCs w:val="17"/>
              </w:rPr>
              <w:t xml:space="preserve"/>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Planned Stuffing Date *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sz w:val="19"/>
                <w:szCs w:val="19"/>
                <w:i/>
                <w:color w:val="5B6573"/>
              </w:rPr>
              <w:t xml:space="preserve">[DD Month YYYY — planned date container will be stuffed and sealed]</w:t>
            </w:r>
          </w:p>
          <w:p>
            <w:r>
              <w:rPr>
                <w:rFonts w:ascii="Aptos" w:cs="Aptos" w:eastAsia="Aptos" w:hAnsi="Aptos"/>
                <w:i/>
                <w:iCs/>
                <w:color w:val="5B6573"/>
                <w:sz w:val="17"/>
                <w:szCs w:val="17"/>
              </w:rPr>
              <w:t xml:space="preserve"/>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Seal No.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[To be confirmed after stuffing]</w:t>
            </w:r>
          </w:p>
          <w:p>
            <w:r>
              <w:rPr>
                <w:rFonts w:ascii="Aptos" w:cs="Aptos" w:eastAsia="Aptos" w:hAnsi="Aptos"/>
                <w:i/>
                <w:iCs/>
                <w:color w:val="5B6573"/>
                <w:sz w:val="17"/>
                <w:szCs w:val="17"/>
              </w:rPr>
              <w:t xml:space="preserve">Customs seal number — provided by CHA</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 of Packages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10 Wooden Crates — must match Packing List exactly]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Gross Weight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24,500 kg — must match Packing List exactly]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Net Weight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22,000 kg — must match Packing List exactly]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Total CBM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10.08 m³ — must match Packing List exactly]</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CARGO DESCRIPTION  (appears on BL exactly as written)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Description of Goods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Absolute Black Granite Memorial Monuments, Mirror Polished — must match Commercial Invoice exactly]</w:t>
            </w:r>
          </w:p>
          <w:p>
            <w:r>
              <w:rPr>
                <w:rFonts w:ascii="Aptos" w:cs="Aptos" w:eastAsia="Aptos" w:hAnsi="Aptos"/>
                <w:i/>
                <w:iCs/>
                <w:color w:val="5B6573"/>
                <w:sz w:val="17"/>
                <w:szCs w:val="17"/>
              </w:rPr>
              <w:t xml:space="preserve">Keep description concise — do not add words not on CI</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HS Code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6802.93 — Worked Monumental Granite]</w:t>
            </w:r>
          </w:p>
          <w:p>
            <w:r>
              <w:rPr>
                <w:rFonts w:ascii="Aptos" w:cs="Aptos" w:eastAsia="Aptos" w:hAnsi="Aptos"/>
                <w:i/>
                <w:iCs/>
                <w:color w:val="5B6573"/>
                <w:sz w:val="17"/>
                <w:szCs w:val="17"/>
              </w:rPr>
              <w:t xml:space="preserve">Must match Commercial Invoice and COO</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Marks &amp; Numbers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val="false"/>
                <w:iCs w:val="false"/>
                <w:color w:val="000000"/>
                <w:sz w:val="19"/>
                <w:szCs w:val="19"/>
              </w:rPr>
              <w:t xml:space="preserve">NEXACREST / [BUYER NAME] / [PORT OF DISCHARGE] / C-001/[TOTAL] to C-[TOTAL]/[TOTAL] / [PI NUMBER] / MADE IN INDIA</w:t>
            </w:r>
          </w:p>
          <w:p>
            <w:r>
              <w:rPr>
                <w:rFonts w:ascii="Aptos" w:cs="Aptos" w:eastAsia="Aptos" w:hAnsi="Aptos"/>
                <w:i/>
                <w:iCs/>
                <w:color w:val="5B6573"/>
                <w:sz w:val="17"/>
                <w:szCs w:val="17"/>
              </w:rPr>
              <w:t xml:space="preserve">Must match marks stencilled on physical crates</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Country of Origin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India</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Dangerous Goods</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iCs/>
                <w:color w:val="000000"/>
                <w:sz w:val="19"/>
                <w:szCs w:val="19"/>
              </w:rPr>
              <w:t xml:space="preserve">NO — Granite memorial stone is non-hazardous and non-dangerous. No MSDS or DG declaration required.</w:t>
            </w:r>
          </w:p>
          <w:p>
            <w:r>
              <w:rPr>
                <w:rFonts w:ascii="Aptos" w:cs="Aptos" w:eastAsia="Aptos" w:hAnsi="Aptos"/>
                <w:iCs/>
                <w:color w:val="000000"/>
                <w:sz w:val="17"/>
                <w:szCs w:val="17"/>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FREIGHT &amp; CHARGES ON BL  |  Incoterms® 2020</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Freight Terms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sz w:val="19"/>
                <w:szCs w:val="19"/>
              </w:rPr>
              <w:t xml:space="preserve">☐  Freight Prepaid (seller pays freight — CFR/CIF)     ☐  Freight Collect (buyer pays freight — FOB)</w:t>
            </w:r>
          </w:p>
          <w:p>
            <w:r>
              <w:rPr>
                <w:rFonts w:ascii="Aptos" w:cs="Aptos" w:eastAsia="Aptos" w:hAnsi="Aptos"/>
                <w:i/>
                <w:iCs/>
                <w:color w:val="5B6573"/>
                <w:sz w:val="17"/>
                <w:szCs w:val="17"/>
              </w:rPr>
              <w:t xml:space="preserve">FOB: Freight Collect — as per agreed terms.  CFR/CIF: Freight Prepaid — as per agreed terms.</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Freight Amount</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[USD XXXXX.XX — if CFR/CIF and prepaid]</w:t>
            </w:r>
          </w:p>
          <w:p>
            <w:r>
              <w:rPr>
                <w:rFonts w:ascii="Aptos" w:cs="Aptos" w:eastAsia="Aptos" w:hAnsi="Aptos"/>
                <w:i/>
                <w:iCs/>
                <w:color w:val="5B6573"/>
                <w:sz w:val="17"/>
                <w:szCs w:val="17"/>
              </w:rPr>
              <w:t xml:space="preserve">Leave blank for FOB (Freight Collect). For CFR/CIF: enter actual freight amount from Debit Note.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Cargo Insurance</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sz w:val="19"/>
                <w:szCs w:val="19"/>
                <w:i/>
                <w:color w:val="5B6573"/>
              </w:rPr>
              <w:t xml:space="preserve">FOB: Buyer's responsibility from port of loading — NexaCrest not liable for loss or damage after loading. CIF: NexaCrest to arrange — confirm insured value with accounts before booking.</w:t>
            </w:r>
          </w:p>
          <w:p>
            <w:r>
              <w:rPr>
                <w:rFonts w:ascii="Aptos" w:cs="Aptos" w:eastAsia="Aptos" w:hAnsi="Aptos"/>
                <w:i/>
                <w:iCs/>
                <w:color w:val="5B6573"/>
                <w:sz w:val="17"/>
                <w:szCs w:val="17"/>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1"/>
                <w:szCs w:val="21"/>
              </w:rPr>
              <w:t xml:space="preserve">⚠  MANDATORY — DRAFT BL APPROVAL REQUIRED BEFORE ORIGINALS ARE ISSUED</w:t>
            </w:r>
          </w:p>
          <w:p>
            <w:r>
              <w:rPr>
                <w:rFonts w:ascii="Aptos" w:cs="Aptos" w:eastAsia="Aptos" w:hAnsi="Aptos"/>
                <w:color w:val="5A1414"/>
                <w:sz w:val="19"/>
                <w:szCs w:val="19"/>
              </w:rPr>
              <w:t xml:space="preserve">CHA / Shipping Line must send the complete draft Bill of Lading to NexaCrest for written approval before issuing any original BL. No original BL may be issued without NexaCrest’s prior written approval. Send draft BL to NexaCrest at contact details in Section 1 above.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BILL OF LADING TYPE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80"/>
            </w:pPr>
            <w:r>
              <w:rPr>
                <w:rFonts w:ascii="Aptos" w:cs="Aptos" w:eastAsia="Aptos" w:hAnsi="Aptos"/>
                <w:b/>
                <w:bCs/>
                <w:color w:val="8A1F1F"/>
                <w:sz w:val="22"/>
                <w:szCs w:val="22"/>
              </w:rPr>
              <w:t xml:space="preserve">MANDATORY INSTRUCTION — DO NOT ISSUE SEA WAYBILL OR EXPRESS BL</w:t>
            </w:r>
          </w:p>
          <w:p>
            <w:pPr>
              <w:spacing w:after="80"/>
            </w:pPr>
            <w:r>
              <w:rPr>
                <w:rFonts w:ascii="Aptos" w:cs="Aptos" w:eastAsia="Aptos" w:hAnsi="Aptos"/>
                <w:b/>
                <w:bCs/>
                <w:color w:val="8A1F1F"/>
                <w:sz w:val="20"/>
                <w:szCs w:val="20"/>
              </w:rPr>
              <w:t xml:space="preserve">Always issue: </w:t>
            </w:r>
            <w:r>
              <w:rPr>
                <w:rFonts w:ascii="Aptos" w:cs="Aptos" w:eastAsia="Aptos" w:hAnsi="Aptos"/>
                <w:b/>
                <w:bCs/>
                <w:color w:val="8A1F1F"/>
                <w:sz w:val="24"/>
                <w:szCs w:val="24"/>
              </w:rPr>
              <w:t xml:space="preserve">ORIGINAL NEGOTIABLE BILL OF LADING — 3 ORIGINALS</w:t>
            </w:r>
          </w:p>
          <w:p>
            <w:r>
              <w:rPr>
                <w:rFonts w:ascii="Aptos" w:cs="Aptos" w:eastAsia="Aptos" w:hAnsi="Aptos"/>
                <w:b/>
                <w:bCs/>
                <w:color w:val="5A1414"/>
                <w:sz w:val="19"/>
                <w:szCs w:val="19"/>
              </w:rPr>
              <w:t xml:space="preserve"/>
            </w:r>
            <w:r>
              <w:rPr>
                <w:rFonts w:ascii="Aptos" w:cs="Aptos" w:eastAsia="Aptos" w:hAnsi="Aptos"/>
                <w:color w:val="5A1414"/>
                <w:sz w:val="18"/>
                <w:szCs w:val="18"/>
              </w:rPr>
              <w:t xml:space="preserve"/>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BL Type</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ORIGINAL NEGOTIABLE BILL OF LADING</w:t>
            </w:r>
          </w:p>
          <w:p>
            <w:r>
              <w:rPr>
                <w:rFonts w:ascii="Aptos" w:cs="Aptos" w:eastAsia="Aptos" w:hAnsi="Aptos"/>
                <w:i/>
                <w:iCs/>
                <w:color w:val="5B6573"/>
                <w:sz w:val="17"/>
                <w:szCs w:val="17"/>
              </w:rPr>
              <w:t xml:space="preserve">Always — no exceptions. Do not substitute with Sea Waybill or Express BL.</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 of Original copies</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3 (three originals)</w:t>
            </w:r>
          </w:p>
          <w:p>
            <w:r>
              <w:rPr>
                <w:rFonts w:ascii="Aptos" w:cs="Aptos" w:eastAsia="Aptos" w:hAnsi="Aptos"/>
                <w:i/>
                <w:iCs/>
                <w:color w:val="5B6573"/>
                <w:sz w:val="17"/>
                <w:szCs w:val="17"/>
              </w:rPr>
              <w:t xml:space="preserve">Standard. NexaCrest will hold all 3 originals until Balance Payment is received.</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 of Non-negotiable copies</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3]</w:t>
            </w:r>
          </w:p>
          <w:p>
            <w:r>
              <w:rPr>
                <w:rFonts w:ascii="Aptos" w:cs="Aptos" w:eastAsia="Aptos" w:hAnsi="Aptos"/>
                <w:i/>
                <w:iCs/>
                <w:color w:val="5B6573"/>
                <w:sz w:val="17"/>
                <w:szCs w:val="17"/>
              </w:rPr>
              <w:t xml:space="preserve">For buyer records and NexaCrest file — non-negotiable copies are released freely.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BL Consignee instruction</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val="false"/>
                <w:iCs w:val="false"/>
                <w:color w:val="000000"/>
                <w:sz w:val="19"/>
                <w:szCs w:val="19"/>
              </w:rPr>
              <w:t xml:space="preserve">TO ORDER OF NEXACREST INTERNATIONAL PRIVATE LIMITED</w:t>
            </w:r>
          </w:p>
          <w:p>
            <w:r>
              <w:rPr>
                <w:rFonts w:ascii="Aptos" w:cs="Aptos" w:eastAsia="Aptos" w:hAnsi="Aptos"/>
                <w:i/>
                <w:iCs/>
                <w:color w:val="5B6573"/>
                <w:sz w:val="17"/>
                <w:szCs w:val="17"/>
              </w:rPr>
              <w:t xml:space="preserve">This ensures the BL is to NexaCrest's order — maximum control. Buyer cannot endorse or use the BL until NexaCrest endorses and releases it.</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2026-09-11T03:52:50.052Z</dcterms:created>
  <dcterms:modified xsi:type="dcterms:W3CDTF">2026-09-11T03:52:50.052Z</dcterms:modified>
</cp:coreProperties>
</file>

<file path=docProps/custom.xml><?xml version="1.0" encoding="utf-8"?>
<Properties xmlns="http://schemas.openxmlformats.org/officeDocument/2006/custom-properties" xmlns:vt="http://schemas.openxmlformats.org/officeDocument/2006/docPropsVTypes"/>
</file>