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BILL OF LADING — REASONING AND GUIDE</w:t>
            </w:r>
          </w:p>
          <w:p>
            <w:pPr>
              <w:jc w:val="right"/>
            </w:pPr>
            <w:r>
              <w:rPr>
                <w:rFonts w:ascii="Aptos" w:cs="Aptos" w:eastAsia="Aptos" w:hAnsi="Aptos"/>
                <w:b/>
                <w:bCs/>
                <w:color w:val="5B6573"/>
                <w:sz w:val="20"/>
                <w:szCs w:val="20"/>
              </w:rPr>
              <w:t xml:space="preserve"/>
            </w:r>
          </w:p>
        </w:tc>
      </w:tr>
    </w:tbl>
    <w:p>
      <w:pPr>
        <w:spacing w:before="0" w:after="40"/>
      </w:pPr>
    </w:p>
    <w:p>
      <w:pPr>
        <w:spacing w:before="0" w:after="60"/>
      </w:pPr>
      <w:r>
        <w:rPr>
          <w:rFonts w:ascii="Aptos" w:cs="Aptos" w:eastAsia="Aptos" w:hAnsi="Aptos"/>
          <w:sz w:val="17"/>
          <w:szCs w:val="17"/>
          <w:color w:val="5B6573"/>
          <w:i/>
        </w:rPr>
        <w:t xml:space="preserve">FOR INTERNAL USE ONLY — NexaCrest Staff Reference Document</w:t>
      </w: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1.  PURPOSE OF THIS GUIDE</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This guide explains the Bill of Lading process used by NexaCrest — what we instruct, why we instruct it, and how to respond if a CHA, shipping line, or buyer questions it. Every decision recorded here was made deliberately to protect NexaCrest's financial position on every shipment.</w:t>
            </w:r>
          </w:p>
          <w:p>
            <w:pPr>
              <w:spacing w:before="20" w:after="40"/>
            </w:pPr>
            <w:r>
              <w:rPr>
                <w:rFonts w:ascii="Aptos" w:cs="Aptos" w:eastAsia="Aptos" w:hAnsi="Aptos"/>
                <w:sz w:val="18"/>
                <w:szCs w:val="18"/>
                <w:color w:val="000000"/>
                <w:b/>
                <w:bCs/>
              </w:rPr>
              <w:t xml:space="preserve">This guide must be read before handling any BL Instruction or endorsement for the first time. It must be referred to whenever a CHA or buyer asks for a change to the standard BL instructions.</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2.  WHAT IS A BILL OF LADING — AND WHY IT CONTROLS EVERYTHING</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A Bill of Lading (BL) is not just a shipping receipt. It is a document of title — meaning the party who holds an original endorsed BL has the legal right to claim the cargo at the destination port. The port will not release cargo to anyone who cannot produce an original endorsed BL.</w:t>
            </w:r>
          </w:p>
          <w:p>
            <w:pPr>
              <w:spacing w:before="20" w:after="20"/>
            </w:pPr>
            <w:r>
              <w:rPr>
                <w:rFonts w:ascii="Aptos" w:cs="Aptos" w:eastAsia="Aptos" w:hAnsi="Aptos"/>
                <w:sz w:val="18"/>
                <w:szCs w:val="18"/>
                <w:color w:val="17233A"/>
                <w:b/>
                <w:bCs/>
              </w:rPr>
              <w:t xml:space="preserve">This means:</w:t>
            </w:r>
          </w:p>
          <w:p>
            <w:pPr>
              <w:spacing w:before="10" w:after="10"/>
              <w:ind w:left="180"/>
            </w:pPr>
            <w:r>
              <w:rPr>
                <w:rFonts w:ascii="Aptos" w:cs="Aptos" w:eastAsia="Aptos" w:hAnsi="Aptos"/>
                <w:sz w:val="18"/>
                <w:szCs w:val="18"/>
                <w:color w:val="000000"/>
              </w:rPr>
              <w:t xml:space="preserve">• A buyer who has paid NexaCrest but does not hold an endorsed original BL cannot take delivery of the cargo.</w:t>
            </w:r>
          </w:p>
          <w:p>
            <w:pPr>
              <w:spacing w:before="10" w:after="10"/>
              <w:ind w:left="180"/>
            </w:pPr>
            <w:r>
              <w:rPr>
                <w:rFonts w:ascii="Aptos" w:cs="Aptos" w:eastAsia="Aptos" w:hAnsi="Aptos"/>
                <w:sz w:val="18"/>
                <w:szCs w:val="18"/>
                <w:color w:val="000000"/>
              </w:rPr>
              <w:t xml:space="preserve">• A buyer who holds an endorsed original BL can take delivery even if a dispute arises later.</w:t>
            </w:r>
          </w:p>
          <w:p>
            <w:pPr>
              <w:spacing w:before="10" w:after="40"/>
              <w:ind w:left="180"/>
            </w:pPr>
            <w:r>
              <w:rPr>
                <w:rFonts w:ascii="Aptos" w:cs="Aptos" w:eastAsia="Aptos" w:hAnsi="Aptos"/>
                <w:sz w:val="18"/>
                <w:szCs w:val="18"/>
                <w:color w:val="000000"/>
                <w:b/>
                <w:bCs/>
              </w:rPr>
              <w:t xml:space="preserve">• Whoever controls the original BL controls the cargo.</w:t>
            </w:r>
          </w:p>
          <w:p>
            <w:pPr>
              <w:spacing w:before="20" w:after="40"/>
            </w:pPr>
            <w:r>
              <w:rPr>
                <w:rFonts w:ascii="Aptos" w:cs="Aptos" w:eastAsia="Aptos" w:hAnsi="Aptos"/>
                <w:sz w:val="18"/>
                <w:szCs w:val="18"/>
                <w:color w:val="000000"/>
              </w:rPr>
              <w:t xml:space="preserve">NexaCrest's payment security model is built entirely on this principle. We hold the BL originals. The buyer cannot get the cargo until they pay. Only when payment is cleared do we endorse and release the BLs.</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3.  WHY WE ALWAYS ISSUE ORIGINAL NEGOTIABLE BILL OF LADING — 3 ORIGINALS</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30"/>
            </w:pPr>
            <w:r>
              <w:rPr>
                <w:rFonts w:ascii="Aptos" w:cs="Aptos" w:eastAsia="Aptos" w:hAnsi="Aptos"/>
                <w:sz w:val="18"/>
                <w:szCs w:val="18"/>
                <w:color w:val="17233A"/>
                <w:b/>
                <w:bCs/>
              </w:rPr>
              <w:t xml:space="preserve">There are three types of BL a shipping line can issue:</w:t>
            </w:r>
          </w:p>
          <w:p>
            <w:pPr>
              <w:spacing w:before="10" w:after="10"/>
              <w:ind w:left="180"/>
            </w:pPr>
            <w:r>
              <w:rPr>
                <w:rFonts w:ascii="Aptos" w:cs="Aptos" w:eastAsia="Aptos" w:hAnsi="Aptos"/>
                <w:sz w:val="18"/>
                <w:szCs w:val="18"/>
                <w:color w:val="000000"/>
              </w:rPr>
              <w:t xml:space="preserve">Original Negotiable BL — a physical document of title. Whoever holds the endorsed original can claim the cargo. NexaCrest always uses this.</w:t>
            </w:r>
          </w:p>
          <w:p>
            <w:pPr>
              <w:spacing w:before="10" w:after="10"/>
              <w:ind w:left="180"/>
            </w:pPr>
            <w:r>
              <w:rPr>
                <w:rFonts w:ascii="Aptos" w:cs="Aptos" w:eastAsia="Aptos" w:hAnsi="Aptos"/>
                <w:sz w:val="18"/>
                <w:szCs w:val="18"/>
                <w:color w:val="000000"/>
              </w:rPr>
              <w:t xml:space="preserve">Sea Waybill — a non-negotiable document. The named consignee can collect cargo without producing any document. There is no control mechanism — NexaCrest would have no financial leverage once the vessel sails.</w:t>
            </w:r>
          </w:p>
          <w:p>
            <w:pPr>
              <w:spacing w:before="10" w:after="40"/>
              <w:ind w:left="180"/>
            </w:pPr>
            <w:r>
              <w:rPr>
                <w:rFonts w:ascii="Aptos" w:cs="Aptos" w:eastAsia="Aptos" w:hAnsi="Aptos"/>
                <w:sz w:val="18"/>
                <w:szCs w:val="18"/>
                <w:color w:val="000000"/>
              </w:rPr>
              <w:t xml:space="preserve">Express BL / Telex Release — the shipping line electronically confirms cargo release to the consignee without any paper BL. Again no control — buyer can collect without any document.</w:t>
            </w:r>
          </w:p>
          <w:p>
            <w:pPr>
              <w:spacing w:before="20" w:after="40"/>
            </w:pPr>
            <w:r>
              <w:rPr>
                <w:rFonts w:ascii="Aptos" w:cs="Aptos" w:eastAsia="Aptos" w:hAnsi="Aptos"/>
                <w:sz w:val="18"/>
                <w:szCs w:val="18"/>
                <w:color w:val="C0392B"/>
                <w:b/>
                <w:bCs/>
              </w:rPr>
              <w:t xml:space="preserve">NexaCrest must NEVER accept a Sea Waybill or Express BL / Telex Release. Under either of these, the buyer can collect the cargo before paying the Balance Payment and NexaCrest would lose all financial leverage with no legal recourse.</w:t>
            </w:r>
          </w:p>
          <w:p>
            <w:pPr>
              <w:spacing w:before="20" w:after="40"/>
            </w:pPr>
            <w:r>
              <w:rPr>
                <w:rFonts w:ascii="Aptos" w:cs="Aptos" w:eastAsia="Aptos" w:hAnsi="Aptos"/>
                <w:sz w:val="18"/>
                <w:szCs w:val="18"/>
                <w:color w:val="000000"/>
              </w:rPr>
              <w:t xml:space="preserve">We always issue 3 original BLs because shipping lines issue them in sets of 3. Any one original, when endorsed, is sufficient for cargo release. We hold all 3 so there is no partial set floating around that could be misused.</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4.  WHY THE BL CONSIGNEE IS "TO ORDER OF NEXACREST INTERNATIONAL PRIVATE LIMITED"</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9638"/>
      </w:tblGrid>
      <w:tr>
        <w:tc>
          <w:tcPr>
            <w:tcW w:w="9638" w:type="dxa"/>
            <w:shd w:val="clear" w:color="auto" w:fill="F9FAFB"/>
            <w:tcMar>
              <w:top w:w="80" w:type="dxa"/>
              <w:left w:w="160" w:type="dxa"/>
              <w:bottom w:w="80" w:type="dxa"/>
              <w:right w:w="160" w:type="dxa"/>
            </w:tcMar>
          </w:tcPr>
          <w:p>
            <w:pPr>
              <w:spacing w:before="40" w:after="40"/>
            </w:pPr>
            <w:r>
              <w:rPr>
                <w:rFonts w:ascii="Aptos" w:cs="Aptos" w:eastAsia="Aptos" w:hAnsi="Aptos"/>
                <w:sz w:val="18"/>
                <w:szCs w:val="18"/>
                <w:color w:val="000000"/>
              </w:rPr>
              <w:t xml:space="preserve">When a BL names the buyer directly as consignee — e.g. "ABC Trading Ltd, France" — the BL is a straight consignment. The buyer's name is on it. While we still hold the originals, there is a legal risk: a buyer's lawyer in their country could obtain a court order arguing the goods are already consigned to them. In some jurisdictions this has succeeded.</w:t>
            </w:r>
          </w:p>
          <w:p>
            <w:pPr>
              <w:spacing w:before="20" w:after="40"/>
            </w:pPr>
            <w:r>
              <w:rPr>
                <w:rFonts w:ascii="Aptos" w:cs="Aptos" w:eastAsia="Aptos" w:hAnsi="Aptos"/>
                <w:sz w:val="18"/>
                <w:szCs w:val="18"/>
                <w:color w:val="000000"/>
              </w:rPr>
              <w:t xml:space="preserve">When the BL consignee is "To Order of NexaCrest International Private Limited" — NexaCrest's name is on the BL, not the buyer's. The cargo legally belongs to NexaCrest until NexaCrest physically endorses the BL in the buyer's favour. No court order in any jurisdiction can override a Negotiable BL to Order — because the title is unambiguously NexaCrest's until the endorsement is written.</w:t>
            </w:r>
          </w:p>
          <w:p>
            <w:pPr>
              <w:spacing w:before="20" w:after="20"/>
            </w:pPr>
            <w:r>
              <w:rPr>
                <w:rFonts w:ascii="Aptos" w:cs="Aptos" w:eastAsia="Aptos" w:hAnsi="Aptos"/>
                <w:sz w:val="18"/>
                <w:szCs w:val="18"/>
                <w:color w:val="000000"/>
              </w:rPr>
              <w:t xml:space="preserve">The buyer's name does NOT appear anywhere in the Consignee field. There is no address, no VAT number, nothing. The consignee on the BL is simply:</w:t>
            </w:r>
          </w:p>
          <w:p>
            <w:pPr>
              <w:spacing w:before="20" w:after="20"/>
            </w:pPr>
            <w:r>
              <w:rPr>
                <w:rFonts w:ascii="Aptos" w:cs="Aptos" w:eastAsia="Aptos" w:hAnsi="Aptos"/>
                <w:sz w:val="20"/>
                <w:szCs w:val="20"/>
                <w:color w:val="17233A"/>
                <w:b/>
                <w:bCs/>
              </w:rPr>
              <w:t xml:space="preserve">TO ORDER OF NEXACREST INTERNATIONAL PRIVATE LIMITED</w:t>
            </w:r>
          </w:p>
          <w:p>
            <w:pPr>
              <w:spacing w:before="20" w:after="40"/>
            </w:pPr>
            <w:r>
              <w:rPr>
                <w:rFonts w:ascii="Aptos" w:cs="Aptos" w:eastAsia="Aptos" w:hAnsi="Aptos"/>
                <w:sz w:val="18"/>
                <w:szCs w:val="18"/>
                <w:color w:val="000000"/>
              </w:rPr>
              <w:t xml:space="preserve">That is the entire consignee entry. This is standard international trade practice and is recognised by every port, customs authority, bank, and court worldwide.</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5.  WHAT THE CHA MAY SAY — AND HOW TO RESPOND</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1440"/>
        <w:gridCol w:w="8198"/>
      </w:tblGrid>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CHA says:</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"You are going to have the OBL anyway — why do you need To Order of NexaCrest? You can just hold them."</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What this means:</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The CHA is thinking operationally — physically holding the BLs does achieve the same practical result for most normal transactions. They are not wrong about the day-to-day reality.</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Why we still insist:</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Physical possession protects us operationally. "To Order of NexaCrest" protects us legally. If BLs were lost, stolen, copied, or if a buyer obtained a court order in their jurisdiction against a straight consignment BL — we would have a legal fight. With "To Order of NexaCrest" there is no argument: the cargo is ours until we endorse. Period.</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How to respond:</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"NexaCrest standard is To Order of NexaCrest International Private Limited on all shipments. This is our company policy and we cannot deviate from it. Please proceed with the BL Instruction as issued."</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If CHA persists:</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Do not agree. Escalate to MD immediately. Never allow the consignee to be changed to the buyer's name without MD written approval.</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6.  WHAT THE BUYER MAY SAY — AND HOW TO RESPOND</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1440"/>
        <w:gridCol w:w="8198"/>
      </w:tblGrid>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Buyer says:</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"Can you telex release / do a sea waybill / release the BL early? The vessel is arriving and we need to clear customs."</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Why this is a risk:</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Once cargo is released the buyer has the goods. If Balance Payment has not been cleared, NexaCrest has no goods and no payment. There is nothing to recover. This is the highest financial risk in the entire export process.</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How to respond:</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"As per our Proforma Invoice and payment terms, original BLs are released only after Balance Payment is confirmed as cleared in NexaCrest's bank account. Once we receive confirmation, we will endorse and courier the originals immediately. Please arrange your Balance Payment so we can process this without delay."</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If buyer says vessel arrives before BL:</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This is normal — vessels often arrive before BL couriers reach the buyer. The cargo will sit at the port under demurrage (storage charges). This is the buyer's cost, not NexaCrest's. Inform the buyer and advise them to pay immediately to minimise demurrage. Do NOT release BLs early under any pressure.</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If buyer says "our bank requires the BL":</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This is an LC or financing situation. Contact MD immediately — this requires a different BL structure (consignee may be the buyer's bank). Never change the BL consignee without MD approval and a confirmed LC from the bank.</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7.  COMPLETE BL PROCESS — FROM BOOKING TO CARGO RELEASE</w:t>
            </w:r>
          </w:p>
        </w:tc>
      </w:tr>
    </w:tbl>
    <w:p>
      <w:pPr>
        <w:spacing w:before="0" w:after="4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1440"/>
        <w:gridCol w:w="8198"/>
      </w:tblGrid>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1 — BLI Issued</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NexaCrest issues BL Instruction Sheet to CHA before shipment booking. Section 8 of BLI states: consignee = "To Order of NexaCrest International Private Limited", BL Type = Original Negotiable, 3 originals.</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2 — Draft BL</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CHA / shipping line sends draft BL to NexaCrest for written approval BEFORE issuing originals. NexaCrest checks every detail — consignee wording, shipper name, description of goods, HS code, marks and numbers, port of loading, port of discharge. Any error is corrected now. Errors after issuance cost time and money.</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3 — Originals Issued</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Only after NexaCrest gives written approval does the shipping line issue 3 original BLs. CHA hands ALL 3 originals to NexaCrest directly. Never to buyer, consignee, notify party, or any other party.</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4 — NexaCrest Stores BLs</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NexaCrest stores all 3 originals securely. Scan and file digital copies in the order file immediately. The buyer is notified that BLs have been received and are held pending Balance Payment.</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5 — Buyer Pays Balance</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Buyer sends Balance Payment by T/T and shares Remittance Copy with NexaCrest. NexaCrest does NOT release BLs on receipt of Remittance Copy alone.</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6 — Payment Cleared</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NexaCrest accounts team confirms Balance Payment is actually credited to NexaCrest bank account — this is Payment Cleared. Only at this point does the release process begin.</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7 — Endorsement</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NexaCrest endorses all 3 original BLs on the reverse side. Endorsement reads "Pay to the order of [Buyer Full Legal Name]". Signed by authorised signatory with company seal. See BL Endorsement document for exact format.</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8 — Courier</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All 3 endorsed originals couriered to buyer at address stated in Proforma Invoice. Confirm courier address with buyer before dispatching. Record courier company and tracking number in the order file. Share tracking number with buyer.</w:t>
            </w:r>
          </w:p>
        </w:tc>
      </w:tr>
      <w:tr>
        <w:tc>
          <w:tcPr>
            <w:tcW w:w="1440" w:type="dxa"/>
            <w:shd w:val="clear" w:color="auto" w:fill="F5F5F5"/>
            <w:tcMar>
              <w:top w:w="80" w:type="dxa"/>
              <w:left w:w="120" w:type="dxa"/>
              <w:bottom w:w="80" w:type="dxa"/>
              <w:right w:w="120" w:type="dxa"/>
            </w:tcMar>
          </w:tcPr>
          <w:p>
            <w:pPr>
              <w:spacing w:before="0" w:after="0"/>
            </w:pPr>
            <w:r>
              <w:rPr>
                <w:rFonts w:ascii="Aptos" w:cs="Aptos" w:eastAsia="Aptos" w:hAnsi="Aptos"/>
                <w:b/>
                <w:bCs/>
                <w:sz w:val="18"/>
                <w:szCs w:val="18"/>
                <w:color w:val="17233A"/>
              </w:rPr>
              <w:t xml:space="preserve">Step 9 — Cargo Release</w:t>
            </w:r>
          </w:p>
        </w:tc>
        <w:tc>
          <w:tcPr>
            <w:tcW w:w="8198" w:type="dxa"/>
            <w:shd w:val="clear" w:color="auto" w:fill="FFFFFF"/>
            <w:tcMar>
              <w:top w:w="80" w:type="dxa"/>
              <w:left w:w="120" w:type="dxa"/>
              <w:bottom w:w="80" w:type="dxa"/>
              <w:right w:w="120" w:type="dxa"/>
            </w:tcMar>
          </w:tcPr>
          <w:p>
            <w:pPr>
              <w:spacing w:before="0" w:after="0"/>
            </w:pPr>
            <w:r>
              <w:rPr>
                <w:rFonts w:ascii="Aptos" w:cs="Aptos" w:eastAsia="Aptos" w:hAnsi="Aptos"/>
                <w:sz w:val="18"/>
                <w:szCs w:val="18"/>
                <w:color w:val="000000"/>
              </w:rPr>
              <w:t xml:space="preserve">Buyer receives endorsed originals, presents them at destination port, cargo is released. Transaction complete.</w:t>
            </w:r>
          </w:p>
        </w:tc>
      </w:tr>
    </w:tbl>
    <w:p>
      <w:pPr>
        <w:spacing w:before="0" w:after="60"/>
      </w:pPr>
    </w:p>
    <w:tbl>
      <w:tblPr>
        <w:tblW w:w="9638" w:type="dxa"/>
        <w:tblBorders>
          <w:top w:val="none" w:sz="0" w:color="auto"/>
          <w:left w:val="none" w:sz="0" w:color="auto"/>
          <w:bottom w:val="none" w:sz="0" w:color="auto"/>
          <w:right w:val="none" w:sz="0" w:color="auto"/>
          <w:insideH w:val="none" w:sz="0" w:color="auto"/>
          <w:insideV w:val="none" w:sz="0" w:color="auto"/>
        </w:tblBorders>
      </w:tblPr>
      <w:tblGrid>
        <w:gridCol w:w="9638"/>
      </w:tblGrid>
      <w:tr>
        <w:tc>
          <w:tcPr>
            <w:tcW w:w="9638" w:type="dxa"/>
            <w:shd w:val="clear" w:color="auto" w:fill="17233A"/>
            <w:tcMar>
              <w:top w:w="80" w:type="dxa"/>
              <w:left w:w="200" w:type="dxa"/>
              <w:bottom w:w="80" w:type="dxa"/>
              <w:right w:w="200" w:type="dxa"/>
            </w:tcMar>
          </w:tcPr>
          <w:p>
            <w:pPr>
              <w:spacing w:before="0" w:after="0"/>
            </w:pPr>
            <w:r>
              <w:rPr>
                <w:rFonts w:ascii="Aptos" w:cs="Aptos" w:eastAsia="Aptos" w:hAnsi="Aptos"/>
                <w:b/>
                <w:bCs/>
                <w:sz w:val="22"/>
                <w:szCs w:val="22"/>
                <w:color w:val="FFFFFF"/>
              </w:rPr>
              <w:t>8.  CRITICAL RULES — NEVER DEVIATE</w:t>
            </w:r>
          </w:p>
        </w:tc>
      </w:tr>
    </w:tbl>
    <w:p>
      <w:pPr>
        <w:spacing w:before="0" w:after="4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0F0"/>
            <w:tcMar>
              <w:top w:w="80" w:type="dxa"/>
              <w:left w:w="160" w:type="dxa"/>
              <w:bottom w:w="80" w:type="dxa"/>
              <w:right w:w="160" w:type="dxa"/>
            </w:tcMar>
          </w:tcPr>
          <w:p>
            <w:pPr>
              <w:spacing w:before="0" w:after="0"/>
            </w:pPr>
            <w:r>
              <w:rPr>
                <w:rFonts w:ascii="Aptos" w:cs="Aptos" w:eastAsia="Aptos" w:hAnsi="Aptos"/>
                <w:b/>
                <w:bCs/>
                <w:sz w:val="18"/>
                <w:szCs w:val="18"/>
                <w:color w:val="C0392B"/>
              </w:rPr>
              <w:t xml:space="preserve">1.  NEVER allow the BL consignee to be changed to the buyer's name. Always "To Order of NexaCrest International Private Limited".
2.  NEVER accept a Sea Waybill or Express BL / Telex Release. Always Original Negotiable BL — 3 originals.
3.  NEVER approve the draft BL without checking every detail against the Commercial Invoice and Packing List.
4.  NEVER release original BLs before Balance Payment is confirmed as Payment Cleared — Remittance Copy is NOT Payment Cleared.
5.  NEVER courier BLs without endorsing ALL 3 originals first.
6.  NEVER courier BLs directly to the consignee, notify party, or any party other than the Buyer as named in the PI.
7.  ANY deviation from the above requires MD written approval before proceeding.</w:t>
            </w:r>
          </w:p>
        </w:tc>
      </w:tr>
    </w:tbl>
    <w:p>
      <w:pPr>
        <w:spacing w:before="0" w:after="40"/>
      </w:pP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2026-09-17T06:44:29.026Z</dcterms:created>
  <dcterms:modified xsi:type="dcterms:W3CDTF">2026-09-17T06:44:29.026Z</dcterms:modified>
</cp:coreProperties>
</file>

<file path=docProps/custom.xml><?xml version="1.0" encoding="utf-8"?>
<Properties xmlns="http://schemas.openxmlformats.org/officeDocument/2006/custom-properties" xmlns:vt="http://schemas.openxmlformats.org/officeDocument/2006/docPropsVTypes"/>
</file>