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0"/>
              <w:jc w:val="center"/>
            </w:pPr>
            <w:r>
              <w:rPr>
                <w:rFonts w:ascii="Arial" w:cs="Arial" w:eastAsia="Arial" w:hAnsi="Arial"/>
                <w:b/>
                <w:bCs/>
                <w:color w:val="FFFFFF"/>
                <w:sz w:val="22"/>
                <w:szCs w:val="22"/>
              </w:rPr>
              <w:t xml:space="preserve">NEXACREST INTERNATIONAL PRIVATE LIMITED</w:t>
            </w:r>
          </w:p>
          <w:p>
            <w:pPr>
              <w:spacing w:after="40"/>
            </w:pPr>
          </w:p>
          <w:p>
            <w:pPr>
              <w:spacing w:after="0"/>
              <w:jc w:val="center"/>
            </w:pPr>
            <w:r>
              <w:rPr>
                <w:rFonts w:ascii="Arial" w:cs="Arial" w:eastAsia="Arial" w:hAnsi="Arial"/>
                <w:b/>
                <w:bCs/>
                <w:color w:val="FFFFFF"/>
                <w:sz w:val="28"/>
                <w:szCs w:val="28"/>
              </w:rPr>
              <w:t xml:space="preserve">SOP 01 — SALES &amp; DOCUMENTATION</w:t>
            </w:r>
          </w:p>
          <w:p>
            <w:pPr>
              <w:spacing w:after="40"/>
            </w:pPr>
          </w:p>
          <w:p>
            <w:pPr>
              <w:spacing w:after="0"/>
              <w:jc w:val="center"/>
            </w:pPr>
            <w:r>
              <w:rPr>
                <w:rFonts w:ascii="Arial" w:cs="Arial" w:eastAsia="Arial" w:hAnsi="Arial"/>
                <w:b/>
                <w:bCs/>
                <w:color w:val="AAAACC"/>
                <w:sz w:val="18"/>
                <w:szCs w:val="18"/>
              </w:rPr>
              <w:t xml:space="preserve">From Buyer Enquiry to Order Confirmation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c>
          <w:tcPr>
            <w:tcW w:type="dxa" w:w="2698"/>
            <w:tcBorders>
              <w:top w:val="single" w:color="185FA5" w:sz="12" w:space="0"/>
              <w:left w:val="single" w:color="185FA5" w:sz="12" w:space="0"/>
              <w:bottom w:val="single" w:color="185FA5" w:sz="12" w:space="0"/>
              <w:right w:val="single" w:color="185FA5" w:sz="12" w:space="0"/>
            </w:tcBorders>
            <w:shd w:fill="185FA5" w:val="clear"/>
            <w:tcMar>
              <w:top w:type="dxa" w:w="80"/>
              <w:left w:type="dxa" w:w="140"/>
              <w:bottom w:type="dxa" w:w="80"/>
              <w:right w:type="dxa" w:w="100"/>
            </w:tcMar>
          </w:tcPr>
          <w:p>
            <w:pPr>
              <w:spacing w:after="0"/>
              <w:jc w:val="left"/>
            </w:pPr>
            <w:r>
              <w:rPr>
                <w:rFonts w:ascii="Arial" w:cs="Arial" w:eastAsia="Arial" w:hAnsi="Arial"/>
                <w:b/>
                <w:bCs/>
                <w:color w:val="FFFFFF"/>
                <w:sz w:val="18"/>
                <w:szCs w:val="18"/>
              </w:rPr>
              <w:t xml:space="preserve">FOR</w:t>
            </w:r>
          </w:p>
        </w:tc>
        <w:tc>
          <w:tcPr>
            <w:tcW w:type="dxa" w:w="6940"/>
            <w:tcBorders>
              <w:top w:val="single" w:color="185FA5" w:sz="8" w:space="0"/>
              <w:left w:val="single" w:color="185FA5" w:sz="8" w:space="0"/>
              <w:bottom w:val="single" w:color="185FA5" w:sz="8" w:space="0"/>
              <w:right w:val="single" w:color="185FA5" w:sz="8" w:space="0"/>
            </w:tcBorders>
            <w:shd w:fill="E6F1FB" w:val="clear"/>
            <w:tcMar>
              <w:top w:type="dxa" w:w="80"/>
              <w:left w:type="dxa" w:w="140"/>
              <w:bottom w:type="dxa" w:w="80"/>
              <w:right w:type="dxa" w:w="140"/>
            </w:tcMar>
          </w:tcPr>
          <w:p>
            <w:pPr>
              <w:spacing w:after="0"/>
              <w:jc w:val="left"/>
            </w:pPr>
            <w:r>
              <w:rPr>
                <w:rFonts w:ascii="Arial" w:cs="Arial" w:eastAsia="Arial" w:hAnsi="Arial"/>
                <w:b/>
                <w:bCs/>
                <w:color w:val="185FA5"/>
                <w:sz w:val="18"/>
                <w:szCs w:val="18"/>
              </w:rPr>
              <w:t xml:space="preserve">Sales Officer / Documentation Officer</w:t>
            </w:r>
          </w:p>
        </w:tc>
      </w:tr>
      <w:tr>
        <w:tc>
          <w:tcPr>
            <w:tcW w:type="dxa" w:w="2698"/>
            <w:tcBorders>
              <w:top w:val="single" w:color="185FA5" w:sz="8" w:space="0"/>
              <w:left w:val="single" w:color="185FA5" w:sz="8" w:space="0"/>
              <w:bottom w:val="single" w:color="185FA5" w:sz="8" w:space="0"/>
              <w:right w:val="single" w:color="185FA5"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TOOLS &amp; DOCS</w:t>
            </w:r>
          </w:p>
        </w:tc>
        <w:tc>
          <w:tcPr>
            <w:tcW w:type="dxa" w:w="6940"/>
            <w:tcBorders>
              <w:top w:val="single" w:color="185FA5" w:sz="8" w:space="0"/>
              <w:left w:val="single" w:color="185FA5" w:sz="8" w:space="0"/>
              <w:bottom w:val="single" w:color="185FA5" w:sz="8" w:space="0"/>
              <w:right w:val="single" w:color="185FA5"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Order Data Sheet (Tab 1) · Quotation (01) · Buyer PO (10) · Proforma Invoice (02) · Order Confirmation (03)</w:t>
            </w:r>
          </w:p>
        </w:tc>
      </w:tr>
      <w:tr>
        <w:tc>
          <w:tcPr>
            <w:tcW w:type="dxa" w:w="2698"/>
            <w:tcBorders>
              <w:top w:val="single" w:color="185FA5" w:sz="8" w:space="0"/>
              <w:left w:val="single" w:color="185FA5" w:sz="8" w:space="0"/>
              <w:bottom w:val="single" w:color="185FA5" w:sz="8" w:space="0"/>
              <w:right w:val="single" w:color="185FA5" w:sz="8" w:space="0"/>
            </w:tcBorders>
            <w:shd w:fill="F1F5F9" w:val="clear"/>
            <w:tcMar>
              <w:top w:type="dxa" w:w="80"/>
              <w:left w:type="dxa" w:w="140"/>
              <w:bottom w:type="dxa" w:w="80"/>
              <w:right w:type="dxa" w:w="100"/>
            </w:tcMar>
          </w:tcPr>
          <w:p>
            <w:pPr>
              <w:spacing w:after="0"/>
              <w:jc w:val="left"/>
            </w:pPr>
            <w:r>
              <w:rPr>
                <w:rFonts w:ascii="Arial" w:cs="Arial" w:eastAsia="Arial" w:hAnsi="Arial"/>
                <w:b/>
                <w:bCs/>
                <w:color w:val="17233A"/>
                <w:sz w:val="16"/>
                <w:szCs w:val="16"/>
              </w:rPr>
              <w:t xml:space="preserve">CHECKLIST</w:t>
            </w:r>
          </w:p>
        </w:tc>
        <w:tc>
          <w:tcPr>
            <w:tcW w:type="dxa" w:w="6940"/>
            <w:tcBorders>
              <w:top w:val="single" w:color="185FA5" w:sz="8" w:space="0"/>
              <w:left w:val="single" w:color="185FA5" w:sz="8" w:space="0"/>
              <w:bottom w:val="single" w:color="185FA5" w:sz="8" w:space="0"/>
              <w:right w:val="single" w:color="185FA5" w:sz="8" w:space="0"/>
            </w:tcBorders>
            <w:shd w:fill="FFFFFF" w:val="clear"/>
            <w:tcMar>
              <w:top w:type="dxa" w:w="80"/>
              <w:left w:type="dxa" w:w="140"/>
              <w:bottom w:type="dxa" w:w="80"/>
              <w:right w:type="dxa" w:w="140"/>
            </w:tcMar>
          </w:tcPr>
          <w:p>
            <w:pPr>
              <w:spacing w:after="0"/>
              <w:jc w:val="left"/>
            </w:pPr>
            <w:r>
              <w:rPr>
                <w:rFonts w:ascii="Arial" w:cs="Arial" w:eastAsia="Arial" w:hAnsi="Arial"/>
                <w:color w:val="333333"/>
                <w:sz w:val="16"/>
                <w:szCs w:val="16"/>
              </w:rPr>
              <w:t xml:space="preserve">Cross-Verification Checklist 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PURPOSE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E6F1FB" w:val="clear"/>
            <w:tcMar>
              <w:top w:type="dxa" w:w="100"/>
              <w:left w:type="dxa" w:w="180"/>
              <w:bottom w:type="dxa" w:w="100"/>
              <w:right w:type="dxa" w:w="180"/>
            </w:tcMar>
          </w:tcPr>
          <w:p>
            <w:pPr>
              <w:spacing w:after="0"/>
              <w:jc w:val="left"/>
            </w:pPr>
            <w:r>
              <w:rPr>
                <w:rFonts w:ascii="Arial" w:cs="Arial" w:eastAsia="Arial" w:hAnsi="Arial"/>
                <w:sz w:val="18"/>
                <w:szCs w:val="18"/>
              </w:rPr>
              <w:t xml:space="preserve">This SOP covers every step from receiving a buyer enquiry to issuing the Order Confirmation after the 40% advance Payment Cleared. Follow this SOP in sequence. Do not skip any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85FA5" w:sz="8" w:space="0"/>
              <w:left w:val="single" w:color="185FA5" w:sz="8" w:space="0"/>
              <w:bottom w:val="single" w:color="185FA5" w:sz="8" w:space="0"/>
              <w:right w:val="single" w:color="185FA5" w:sz="8" w:space="0"/>
            </w:tcBorders>
            <w:shd w:fill="185FA5"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STEP-BY-STEP PROCESS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Receive Enquiry &amp; Open Order Data Sheet</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When a buyer enquiry arrives (email / WhatsApp / call), immediately open a new copy of NexaCrest_Order_Data_Sheet.xlsx. Rename it: NC-SC-[YEAR]-[DDMMNNN]_[BuyerName]_Order_Data_Sheet.xlsx. Assign the Buyer Inquiry REF (NC/SC/YYYY/DDMMNNN) in Section 1.</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Every order must have a master tracking number from day one. This number appears on every document and is how any document in the order can be retrieved.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Fill Buyer Details</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Fill Tab 1, Section 2 (Buyer Details) completely. Collect: exact legal company name, billing address, VAT/EORI/Tax Reg. No., contact person, email, phone, country of destination, COO type (GSP Form A or Non-preferential). If buyer cannot confirm COO type — ask them to check with their customs broker before the Quotation is issued.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Buyer name and VAT/EORI must be character-for-character correct from the start. A spelling error here propagates to every downstream document and causes customs problems.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Product &amp; Pricing</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Fill Tab 1, Sections 3 and 4 (Product Details). Record: product description, material, finish, dimensions, HS Code (6802.93 for granite), quantity (write TBC if not confirmed), unit, unit price (USD), total FOB value. If buyer has not confirmed quantity — issue the Quotation with TBC in the quantity column and the unit price clearly stated.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FOB Value = Qty × Unit Price. This is the basis for ALL payments. A wrong unit price or quantity here affects the advance and balance amounts on every subsequent document.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Sections 3 &amp; 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Confirm Shipping Terms</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Fill Tab 1, Section 5. Confirm with buyer: Incoterm (FOB / CFR / CIF), Port of Discharge (exact ocean port — city and country), container type. Note: Port of Loading is always Chennai, India — do not ask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Port of Discharge must be identical across every document. A mismatch between PI and BL causes customs clearance problems at the destination.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1, Section 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Prepare and Issue Quotation</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FIRST: Select the correct folder — use 01_Tier1_NewBuyer/ for all new buyers (DEFAULT). Use 02_Tier2_EstablishedBuyer/ only with MD approval after 2+ completed orders. Open the Quotation from the correct tier folder. Populate all fields using Tab 1 of the Order Data Sheet. Assign the QT number (SC/QT/YYYY/DDMMNNN Rev.00). Set Valid Until = 30 days from today. Check: Buyer Inquiry REF appears in meta bar. If Annexure A is needed — prepare it, sign and seal it, then merge as ONE PDF with the Quotation before sending. Do not send as two separate files.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Quotation sets all commercial terms. Errors here require a revised quotation and delay the order.</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01 Quotation | Check: CL1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Obtain Written Acceptance from Buyer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Wait for buyer's written acceptance — signed Buyer PO returned, or written email acceptance, or WhatsApp confirmation (screenshot saved). FILE THE ACCEPTANCE. Do not proceed without it.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Your CA requires evidence of a genuine commercial order on file before any payment is received.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10 Buyer PO (pre-fill and send for signature) | File: signed PO / acceptance email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Written acceptance must be on file before PI is issued. No exceptions.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7</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Prepare and Issue Proforma Invoice</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Open the ProformaInvoice from the SAME tier folder used for the Quotation. Tier 1: 40% advance + 60% before shipment. Tier 2: 40% advance + 60% against BL. Populate all fields from Tab 1. Assign PI number (SC/PI/YYYY/DDMMNNN Rev.00). Set Valid Until = 15 days from today (enter in Tab 1 Section 1 and on PI amber row). Calculate: 40% Advance = FOB Value × 0.40. Verify bank details show RBI Purpose Code P0103. Sign and seal. Send to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PI triggers the 40% advance payment. Every field must be accurate before sending — errors require a revised PI which delays production start.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02 Proforma Invoice | Check: CL1 Section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8</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Wait for 40% Advance — CLEARED</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Do NOT start production on receipt of remittance copy alone. Wait until Accounts confirms the 40% advance is CLEARED in NexaCrest SBI account (allow 1–2 banking days). Enter the cleared date in Tab 1, Section 6 of the Order Data Sheet.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Production started on an uncleared payment is a financial risk. The remittance copy is not payment — cleared funds in the bank are payment.</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Confirm with: Accounts (CL2 Section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12" w:space="0"/>
              <w:left w:val="single" w:color="A32D2D" w:sz="24" w:space="0"/>
              <w:bottom w:val="single" w:color="A32D2D" w:sz="12" w:space="0"/>
              <w:right w:val="single" w:color="A32D2D" w:sz="12" w:space="0"/>
            </w:tcBorders>
            <w:shd w:fill="FBEAEA" w:val="clear"/>
            <w:tcMar>
              <w:top w:type="dxa" w:w="100"/>
              <w:left w:type="dxa" w:w="180"/>
              <w:bottom w:type="dxa" w:w="100"/>
              <w:right w:type="dxa" w:w="180"/>
            </w:tcMar>
          </w:tcPr>
          <w:p>
            <w:pPr>
              <w:spacing w:after="0"/>
              <w:jc w:val="left"/>
            </w:pPr>
            <w:r>
              <w:rPr>
                <w:rFonts w:ascii="Arial" w:cs="Arial" w:eastAsia="Arial" w:hAnsi="Arial"/>
                <w:b/>
                <w:bCs/>
                <w:color w:val="A32D2D"/>
                <w:sz w:val="19"/>
                <w:szCs w:val="19"/>
              </w:rPr>
              <w:t xml:space="preserve">⛔  GATE: </w:t>
            </w:r>
            <w:r>
              <w:rPr>
                <w:rFonts w:ascii="Arial" w:cs="Arial" w:eastAsia="Arial" w:hAnsi="Arial"/>
                <w:b/>
                <w:bCs/>
                <w:color w:val="A32D2D"/>
                <w:sz w:val="18"/>
                <w:szCs w:val="18"/>
              </w:rPr>
              <w:t xml:space="preserve">40% advance must be CLEARED in SBI — not just remittance received. Confirm with Accounts before issuing OC.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9</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Issue Order Confirmation</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Once advance is confirmed cleared — open NexaCrest_03_OrderConfirmation.docx. Populate from Tab 1. Assign OC number (SC/OC/YYYY/DDMMNNN Rev.00). Fill: 40% advance amount received, date cleared. Confirm Buyer Inquiry REF matches. Sign and seal. Send to buyer.</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OC confirms to the buyer that payment is received and production is starting. It also confirms the balance amount due.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Document: 03 Order Confirmation | Check: CL1 Section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185FA5" w:sz="16" w:space="0"/>
              <w:left w:val="single" w:color="185FA5" w:sz="16" w:space="0"/>
              <w:bottom w:val="single" w:color="185FA5" w:sz="4" w:space="0"/>
              <w:right w:val="single" w:color="185FA5" w:sz="4" w:space="0"/>
            </w:tcBorders>
            <w:shd w:fill="185FA5"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10</w:t>
            </w:r>
          </w:p>
        </w:tc>
        <w:tc>
          <w:tcPr>
            <w:tcW w:type="dxa" w:w="9038"/>
            <w:tcBorders>
              <w:top w:val="single" w:color="185FA5" w:sz="16" w:space="0"/>
              <w:left w:val="single" w:color="185FA5" w:sz="4" w:space="0"/>
              <w:bottom w:val="single" w:color="185FA5" w:sz="4" w:space="0"/>
              <w:right w:val="single" w:color="185FA5" w:sz="16" w:space="0"/>
            </w:tcBorders>
            <w:shd w:fill="E6F1FB"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Update Document Status Tracker</w:t>
            </w:r>
          </w:p>
        </w:tc>
      </w:tr>
      <w:tr>
        <w:tc>
          <w:tcPr>
            <w:tcW w:type="dxa" w:w="600"/>
            <w:tcBorders>
              <w:top w:val="single" w:color="185FA5" w:sz="4" w:space="0"/>
              <w:left w:val="single" w:color="185FA5" w:sz="16" w:space="0"/>
              <w:bottom w:val="single" w:color="185FA5" w:sz="16" w:space="0"/>
              <w:right w:val="single" w:color="185FA5" w:sz="4" w:space="0"/>
            </w:tcBorders>
            <w:shd w:fill="185FA5" w:val="clear"/>
          </w:tcPr>
          <w:p>
            <w:pPr>
              <w:spacing w:after="20"/>
            </w:pPr>
          </w:p>
        </w:tc>
        <w:tc>
          <w:tcPr>
            <w:tcW w:type="dxa" w:w="9038"/>
            <w:tcBorders>
              <w:top w:val="single" w:color="185FA5" w:sz="4" w:space="0"/>
              <w:left w:val="single" w:color="185FA5" w:sz="4" w:space="0"/>
              <w:bottom w:val="single" w:color="185FA5" w:sz="16" w:space="0"/>
              <w:right w:val="single" w:color="185FA5"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185FA5"/>
                <w:sz w:val="17"/>
                <w:szCs w:val="17"/>
              </w:rPr>
              <w:t xml:space="preserve">WHAT: </w:t>
            </w:r>
            <w:r>
              <w:rPr>
                <w:rFonts w:ascii="Arial" w:cs="Arial" w:eastAsia="Arial" w:hAnsi="Arial"/>
                <w:sz w:val="17"/>
                <w:szCs w:val="17"/>
              </w:rPr>
              <w:t xml:space="preserve">Open Tab 3 of the Order Data Sheet. Mark QT, Buyer PO, PI and OC as issued and sent. Record dates.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The status tracker gives everyone on the team visibility of where the order stands without asking.</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Data Sheet — Tab 3</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DISPUTE PREVENTION — MANDATORY BEFORE EVERY PI IS SENT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1</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Payment Terms Match QT — Character for Character</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Open the QT the buyer accepted. Open the PI. Compare payment terms word by word, number by number, punctuation mark by punctuation mark. They must be identical — not similar, not approximately the same. Identical. Copy directly from QT — do not retype, do not paraphrase. If the QT had a typo — fix the QT first, issue a revised QT, get fresh written acceptance, then issue the PI. Never fix a QT error directly on the PI.</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 single word difference — even 'T/T' vs 'T/T' — gives a buyer's lawyer grounds to argue the PI introduced new terms the buyer never agreed to. This freezes the advance, stops production, and turns a straightforward transaction into a legal dispute.</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QT + PI side by side comparison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2</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Verify All Three Legal Clauses Are Present in PI</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Before sending any PI — confirm all three clauses are visible in the T&amp;C section: PAYMENT TERMS FINALITY, DISPUTE RESOLUTION &amp; PUBLIC COMMUNICATIONS, and ACCEPTANCE &amp; ORDER OF PRECEDENCE. If any are missing — do not send the PI until they are added.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Without these clauses NexaCrest has no contractual basis to demand payment term compliance, prevent public statements, or reject a buyer's conflicting PO terms.</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PI T&amp;C section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3</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Written Acceptance on File Before Requesting Advance</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Signed Buyer PO, email confirmation, or written message from buyer must be saved and filed before the PI is sent. No exceptions. File it in the order folder the moment it arrives.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Without written acceptance on file there is no evidence the buyer agreed to the terms. In any dispute the first question asked will be — where is the proof the buyer accepted?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folder — buyer acceptance file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4</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Review Buyer's Own PO for Conflicting Terms</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When buyer returns their signed PO — read it. If they have attached their own T&amp;C or written different payment terms — do not proceed. Escalate to MD immediately. Per the Acceptance &amp; Order of Precedence clause their terms do not apply — but this must be resolved before any advance is requested.</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 buyer whose conflicting PO terms are not caught early will later claim those terms govern the transaction. Catching it before the advance is paid means you have full control of the situation.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Buyer's returning PO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5</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Archive All Correspondence from Day One</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Every email, written message, and document exchanged with the buyer must be saved in the order folder from the very first contact. Do not wait for a dispute to start archiving. Save everything — including price negotiations, specification changes, and delivery discussions.</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In any dispute the correspondence trail is the primary evidence. A gap in the trail — even one missing message — creates doubt about what was agreed and when.</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Order folder — full correspondence archive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A32D2D" w:sz="16" w:space="0"/>
              <w:left w:val="single" w:color="A32D2D" w:sz="16" w:space="0"/>
              <w:bottom w:val="single" w:color="A32D2D" w:sz="4" w:space="0"/>
              <w:right w:val="single" w:color="A32D2D" w:sz="4" w:space="0"/>
            </w:tcBorders>
            <w:shd w:fill="A32D2D" w:val="clear"/>
            <w:tcMar>
              <w:top w:type="dxa" w:w="80"/>
              <w:left w:type="dxa" w:w="100"/>
              <w:bottom w:type="dxa" w:w="60"/>
              <w:right w:type="dxa" w:w="80"/>
            </w:tcMar>
          </w:tcPr>
          <w:p>
            <w:pPr>
              <w:spacing w:after="0"/>
              <w:jc w:val="center"/>
            </w:pPr>
            <w:r>
              <w:rPr>
                <w:rFonts w:ascii="Arial" w:cs="Arial" w:eastAsia="Arial" w:hAnsi="Arial"/>
                <w:b/>
                <w:bCs/>
                <w:color w:val="FFFFFF"/>
                <w:sz w:val="24"/>
                <w:szCs w:val="24"/>
              </w:rPr>
              <w:t xml:space="preserve">STEP 6</w:t>
            </w:r>
          </w:p>
        </w:tc>
        <w:tc>
          <w:tcPr>
            <w:tcW w:type="dxa" w:w="9038"/>
            <w:tcBorders>
              <w:top w:val="single" w:color="A32D2D" w:sz="16" w:space="0"/>
              <w:left w:val="single" w:color="A32D2D" w:sz="4" w:space="0"/>
              <w:bottom w:val="single" w:color="A32D2D" w:sz="4" w:space="0"/>
              <w:right w:val="single" w:color="A32D2D" w:sz="16" w:space="0"/>
            </w:tcBorders>
            <w:shd w:fill="FBEAEA" w:val="clear"/>
            <w:tcMar>
              <w:top w:type="dxa" w:w="80"/>
              <w:left w:type="dxa" w:w="160"/>
              <w:bottom w:type="dxa" w:w="60"/>
              <w:right w:type="dxa" w:w="140"/>
            </w:tcMar>
          </w:tcPr>
          <w:p>
            <w:pPr>
              <w:spacing w:after="0"/>
              <w:jc w:val="left"/>
            </w:pPr>
            <w:r>
              <w:rPr>
                <w:rFonts w:ascii="Arial" w:cs="Arial" w:eastAsia="Arial" w:hAnsi="Arial"/>
                <w:b/>
                <w:bCs/>
                <w:color w:val="17233A"/>
                <w:sz w:val="20"/>
                <w:szCs w:val="20"/>
              </w:rPr>
              <w:t xml:space="preserve">Never Agree to Change Payment Terms Informally</w:t>
            </w:r>
          </w:p>
        </w:tc>
      </w:tr>
      <w:tr>
        <w:tc>
          <w:tcPr>
            <w:tcW w:type="dxa" w:w="600"/>
            <w:tcBorders>
              <w:top w:val="single" w:color="A32D2D" w:sz="4" w:space="0"/>
              <w:left w:val="single" w:color="A32D2D" w:sz="16" w:space="0"/>
              <w:bottom w:val="single" w:color="A32D2D" w:sz="16" w:space="0"/>
              <w:right w:val="single" w:color="A32D2D" w:sz="4" w:space="0"/>
            </w:tcBorders>
            <w:shd w:fill="A32D2D" w:val="clear"/>
          </w:tcPr>
          <w:p>
            <w:pPr>
              <w:spacing w:after="20"/>
            </w:pPr>
          </w:p>
        </w:tc>
        <w:tc>
          <w:tcPr>
            <w:tcW w:type="dxa" w:w="9038"/>
            <w:tcBorders>
              <w:top w:val="single" w:color="A32D2D" w:sz="4" w:space="0"/>
              <w:left w:val="single" w:color="A32D2D" w:sz="4" w:space="0"/>
              <w:bottom w:val="single" w:color="A32D2D" w:sz="16" w:space="0"/>
              <w:right w:val="single" w:color="A32D2D" w:sz="16" w:space="0"/>
            </w:tcBorders>
            <w:shd w:fill="FFFFFF" w:val="clear"/>
            <w:tcMar>
              <w:top w:type="dxa" w:w="80"/>
              <w:left w:type="dxa" w:w="160"/>
              <w:bottom w:type="dxa" w:w="100"/>
              <w:right w:type="dxa" w:w="140"/>
            </w:tcMar>
          </w:tcPr>
          <w:p>
            <w:pPr>
              <w:spacing w:after="0"/>
              <w:jc w:val="left"/>
            </w:pPr>
            <w:r>
              <w:rPr>
                <w:rFonts w:ascii="Arial" w:cs="Arial" w:eastAsia="Arial" w:hAnsi="Arial"/>
                <w:b/>
                <w:bCs/>
                <w:color w:val="A32D2D"/>
                <w:sz w:val="17"/>
                <w:szCs w:val="17"/>
              </w:rPr>
              <w:t xml:space="preserve">WHAT: </w:t>
            </w:r>
            <w:r>
              <w:rPr>
                <w:rFonts w:ascii="Arial" w:cs="Arial" w:eastAsia="Arial" w:hAnsi="Arial"/>
                <w:sz w:val="17"/>
                <w:szCs w:val="17"/>
              </w:rPr>
              <w:t xml:space="preserve">If a buyer asks for different payment terms after accepting the QT — do not agree verbally, by message, or by email without written MD approval. Refer the buyer to the Payment Terms Finality clause. Any change requires mutual written agreement signed by both parties before it takes effect.</w:t>
            </w:r>
          </w:p>
          <w:p>
            <w:pPr>
              <w:spacing w:after="60"/>
            </w:pPr>
          </w:p>
          <w:p>
            <w:pPr>
              <w:spacing w:after="0"/>
              <w:jc w:val="left"/>
            </w:pPr>
            <w:r>
              <w:rPr>
                <w:rFonts w:ascii="Arial" w:cs="Arial" w:eastAsia="Arial" w:hAnsi="Arial"/>
                <w:b/>
                <w:bCs/>
                <w:color w:val="555555"/>
                <w:sz w:val="17"/>
                <w:szCs w:val="17"/>
              </w:rPr>
              <w:t xml:space="preserve">WHY: </w:t>
            </w:r>
            <w:r>
              <w:rPr>
                <w:rFonts w:ascii="Arial" w:cs="Arial" w:eastAsia="Arial" w:hAnsi="Arial"/>
                <w:i/>
                <w:iCs/>
                <w:color w:val="555555"/>
                <w:sz w:val="17"/>
                <w:szCs w:val="17"/>
              </w:rPr>
              <w:t xml:space="preserve">An informal agreement to change terms — even a one-line reply saying 'okay we can discuss' — can be used to argue NexaCrest consented to a variation. Once that argument exists the locked terms are weakened.</w:t>
            </w:r>
          </w:p>
          <w:p>
            <w:pPr>
              <w:spacing w:after="60"/>
            </w:pPr>
          </w:p>
          <w:p>
            <w:pPr>
              <w:spacing w:after="0"/>
              <w:jc w:val="left"/>
            </w:pPr>
            <w:r>
              <w:rPr>
                <w:rFonts w:ascii="Arial" w:cs="Arial" w:eastAsia="Arial" w:hAnsi="Arial"/>
                <w:b/>
                <w:bCs/>
                <w:color w:val="17233A"/>
                <w:sz w:val="17"/>
                <w:szCs w:val="17"/>
              </w:rPr>
              <w:t xml:space="preserve">DOCUMENT: </w:t>
            </w:r>
            <w:r>
              <w:rPr>
                <w:rFonts w:ascii="Arial" w:cs="Arial" w:eastAsia="Arial" w:hAnsi="Arial"/>
                <w:color w:val="17233A"/>
                <w:sz w:val="17"/>
                <w:szCs w:val="17"/>
              </w:rPr>
              <w:t xml:space="preserve">MD approval required for any change</w:t>
            </w:r>
          </w:p>
        </w:tc>
      </w:tr>
    </w:tbl>
    <w:p>
      <w:pPr>
        <w:spacing w:after="8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8" w:space="0"/>
              <w:left w:val="single" w:color="A32D2D" w:sz="8" w:space="0"/>
              <w:bottom w:val="single" w:color="A32D2D" w:sz="8" w:space="0"/>
              <w:right w:val="single" w:color="A32D2D" w:sz="8" w:space="0"/>
            </w:tcBorders>
            <w:shd w:fill="A32D2D" w:val="clear"/>
            <w:tcMar>
              <w:top w:type="dxa" w:w="80"/>
              <w:left w:type="dxa" w:w="160"/>
              <w:bottom w:type="dxa" w:w="80"/>
              <w:right w:type="dxa" w:w="160"/>
            </w:tcMar>
          </w:tcPr>
          <w:p>
            <w:pPr>
              <w:spacing w:after="0"/>
              <w:jc w:val="left"/>
            </w:pPr>
            <w:r>
              <w:rPr>
                <w:rFonts w:ascii="Arial" w:cs="Arial" w:eastAsia="Arial" w:hAnsi="Arial"/>
                <w:b/>
                <w:bCs/>
                <w:color w:val="FFFFFF"/>
                <w:sz w:val="19"/>
                <w:szCs w:val="19"/>
              </w:rPr>
              <w:t xml:space="preserve">COMMON MISTAKES TO AVOID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Issuing PI before receiving written acceptance from buyer</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Starting production on a remittance copy — waiting for clearance confirmation is mandatory</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Spelling buyer name differently across Quotation and PI</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Sending Annexure A as a separate file instead of merging it into the main PDF</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Issuing a new PI number when revising — always increment Rev.00 → Rev.01</w:t>
            </w:r>
          </w:p>
        </w:tc>
      </w:tr>
      <w:tr>
        <w:tc>
          <w:tcPr>
            <w:tcW w:type="dxa" w:w="9638"/>
            <w:tcBorders>
              <w:top w:val="single" w:color="A32D2D" w:sz="6" w:space="0"/>
              <w:left w:val="single" w:color="A32D2D" w:sz="6" w:space="0"/>
              <w:bottom w:val="single" w:color="A32D2D" w:sz="6" w:space="0"/>
              <w:right w:val="single" w:color="A32D2D" w:sz="6" w:space="0"/>
            </w:tcBorders>
            <w:shd w:fill="FBEAEA" w:val="clear"/>
            <w:tcMar>
              <w:top w:type="dxa" w:w="60"/>
              <w:left w:type="dxa" w:w="160"/>
              <w:bottom w:type="dxa" w:w="60"/>
              <w:right w:type="dxa" w:w="160"/>
            </w:tcMar>
          </w:tcPr>
          <w:p>
            <w:pPr>
              <w:spacing w:after="0"/>
              <w:jc w:val="left"/>
            </w:pPr>
            <w:r>
              <w:rPr>
                <w:rFonts w:ascii="Arial" w:cs="Arial" w:eastAsia="Arial" w:hAnsi="Arial"/>
                <w:b/>
                <w:bCs/>
                <w:color w:val="A32D2D"/>
                <w:sz w:val="17"/>
                <w:szCs w:val="17"/>
              </w:rPr>
              <w:t xml:space="preserve">✗  </w:t>
            </w:r>
            <w:r>
              <w:rPr>
                <w:rFonts w:ascii="Arial" w:cs="Arial" w:eastAsia="Arial" w:hAnsi="Arial"/>
                <w:color w:val="A32D2D"/>
                <w:sz w:val="17"/>
                <w:szCs w:val="17"/>
              </w:rPr>
              <w:t xml:space="preserve">Forgetting to update the Order Data Sheet — all data must be in one place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2026-09-17T09:57:15.086Z</dcterms:created>
  <dcterms:modified xsi:type="dcterms:W3CDTF">2026-09-17T09:57:15.095Z</dcterms:modified>
</cp:coreProperties>
</file>

<file path=docProps/custom.xml><?xml version="1.0" encoding="utf-8"?>
<Properties xmlns="http://schemas.openxmlformats.org/officeDocument/2006/custom-properties" xmlns:vt="http://schemas.openxmlformats.org/officeDocument/2006/docPropsVTypes"/>
</file>