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7233A" w:sz="24" w:space="0"/>
              <w:left w:val="single" w:color="17233A" w:sz="24" w:space="0"/>
              <w:bottom w:val="single" w:color="17233A" w:sz="24" w:space="0"/>
              <w:right w:val="single" w:color="17233A" w:sz="24" w:space="0"/>
            </w:tcBorders>
            <w:shd w:fill="17233A" w:val="clear"/>
            <w:tcMar>
              <w:top w:type="dxa" w:w="160"/>
              <w:left w:type="dxa" w:w="240"/>
              <w:bottom w:type="dxa" w:w="140"/>
              <w:right w:type="dxa" w:w="240"/>
            </w:tcMar>
          </w:tcPr>
          <w:p>
            <w:pPr>
              <w:spacing w:after="40"/>
              <w:jc w:val="center"/>
            </w:pPr>
            <w:r>
              <w:rPr>
                <w:rFonts w:ascii="Arial" w:cs="Arial" w:eastAsia="Arial" w:hAnsi="Arial"/>
                <w:b/>
                <w:bCs/>
                <w:color w:val="FFFFFF"/>
                <w:sz w:val="22"/>
                <w:szCs w:val="22"/>
              </w:rPr>
              <w:t xml:space="preserve">NEXACREST INTERNATIONAL PRIVATE LIMITED</w:t>
            </w:r>
          </w:p>
          <w:p>
            <w:pPr>
              <w:spacing w:after="40"/>
              <w:jc w:val="center"/>
            </w:pPr>
            <w:r>
              <w:rPr>
                <w:rFonts w:ascii="Arial" w:cs="Arial" w:eastAsia="Arial" w:hAnsi="Arial"/>
                <w:b/>
                <w:bCs/>
                <w:color w:val="FFFFFF"/>
                <w:sz w:val="28"/>
                <w:szCs w:val="28"/>
              </w:rPr>
              <w:t xml:space="preserve">SOP 02 — ACCOUNTS &amp; FINANCE</w:t>
            </w:r>
          </w:p>
          <w:p>
            <w:pPr>
              <w:spacing w:after="40"/>
              <w:jc w:val="center"/>
            </w:pPr>
            <w:r>
              <w:rPr>
                <w:rFonts w:ascii="Arial" w:cs="Arial" w:eastAsia="Arial" w:hAnsi="Arial"/>
                <w:b/>
                <w:bCs/>
                <w:color w:val="AAAACC"/>
                <w:sz w:val="18"/>
                <w:szCs w:val="18"/>
              </w:rPr>
              <w:t xml:space="preserve">Payment Verification, FDN &amp; Balance Collection — Full Guide</w:t>
            </w:r>
          </w:p>
          <w:p>
            <w:pPr>
              <w:spacing w:after="0"/>
              <w:jc w:val="center"/>
            </w:pPr>
            <w:r>
              <w:rPr>
                <w:rFonts w:ascii="Arial" w:cs="Arial" w:eastAsia="Arial" w:hAnsi="Arial"/>
                <w:b/>
                <w:bCs/>
                <w:color w:val="EF9F27"/>
                <w:sz w:val="16"/>
                <w:szCs w:val="16"/>
              </w:rPr>
              <w:t xml:space="preserve">FORMAT B — FULL GUIDE WITH EXAMPLES &amp; CONSEQUENCES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54F0B" w:sz="12" w:space="0"/>
              <w:left w:val="single" w:color="854F0B" w:sz="12" w:space="0"/>
              <w:bottom w:val="single" w:color="854F0B" w:sz="12" w:space="0"/>
              <w:right w:val="single" w:color="854F0B" w:sz="12" w:space="0"/>
            </w:tcBorders>
            <w:shd w:fill="FFF3CD" w:val="clear"/>
            <w:tcMar>
              <w:top w:type="dxa" w:w="100"/>
              <w:left w:type="dxa" w:w="180"/>
              <w:bottom w:type="dxa" w:w="100"/>
              <w:right w:type="dxa" w:w="180"/>
            </w:tcMar>
          </w:tcPr>
          <w:p>
            <w:pPr>
              <w:spacing w:after="120"/>
              <w:jc w:val="left"/>
            </w:pPr>
            <w:r>
              <w:rPr>
                <w:rFonts w:ascii="Arial" w:cs="Arial" w:eastAsia="Arial" w:hAnsi="Arial"/>
                <w:b/>
                <w:bCs/>
                <w:color w:val="854F0B"/>
                <w:sz w:val="19"/>
                <w:szCs w:val="19"/>
              </w:rPr>
              <w:t xml:space="preserve">📖  HOW TO USE THIS DOCUMENT: </w:t>
            </w:r>
            <w:r>
              <w:rPr>
                <w:rFonts w:ascii="Arial" w:cs="Arial" w:eastAsia="Arial" w:hAnsi="Arial"/>
                <w:color w:val="412402"/>
                <w:sz w:val="18"/>
                <w:szCs w:val="18"/>
              </w:rPr>
              <w:t xml:space="preserve">This is Format B — the full explanation guide. Read this once during onboarding to understand WHY each step exists and what happens when it is skipped. For daily work use Format A (Quick Reference). When Format A says </w:t>
            </w:r>
            <w:r>
              <w:rPr>
                <w:rFonts w:ascii="Arial" w:cs="Arial" w:eastAsia="Arial" w:hAnsi="Arial"/>
                <w:b/>
                <w:bCs/>
                <w:color w:val="854F0B"/>
                <w:sz w:val="18"/>
                <w:szCs w:val="18"/>
              </w:rPr>
              <w:t xml:space="preserve">📖 See Format B, Step X</w:t>
            </w:r>
            <w:r>
              <w:rPr>
                <w:rFonts w:ascii="Arial" w:cs="Arial" w:eastAsia="Arial" w:hAnsi="Arial"/>
                <w:color w:val="412402"/>
                <w:sz w:val="18"/>
                <w:szCs w:val="18"/>
              </w:rPr>
              <w:t xml:space="preserve"> — that is your signal to open this document for deeper context on that specific step.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B6D11" w:sz="8" w:space="0"/>
              <w:left w:val="single" w:color="3B6D11" w:sz="8" w:space="0"/>
              <w:bottom w:val="single" w:color="3B6D11" w:sz="8" w:space="0"/>
              <w:right w:val="single" w:color="3B6D11" w:sz="8" w:space="0"/>
            </w:tcBorders>
            <w:shd w:fill="3B6D11" w:val="clear"/>
            <w:tcMar>
              <w:top w:type="dxa" w:w="80"/>
              <w:left w:type="dxa" w:w="160"/>
              <w:bottom w:type="dxa" w:w="80"/>
              <w:right w:type="dxa" w:w="160"/>
            </w:tcMar>
          </w:tcPr>
          <w:p>
            <w:pPr>
              <w:spacing w:after="120"/>
              <w:jc w:val="left"/>
            </w:pPr>
            <w:r>
              <w:rPr>
                <w:rFonts w:ascii="Arial" w:cs="Arial" w:eastAsia="Arial" w:hAnsi="Arial"/>
                <w:b/>
                <w:bCs/>
                <w:color w:val="FFFFFF"/>
                <w:sz w:val="19"/>
                <w:szCs w:val="19"/>
              </w:rPr>
              <w:t xml:space="preserve">WHY THIS SOP EXISTS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B6D11" w:sz="8" w:space="0"/>
              <w:left w:val="single" w:color="3B6D11" w:sz="8" w:space="0"/>
              <w:bottom w:val="single" w:color="3B6D11" w:sz="8" w:space="0"/>
              <w:right w:val="single" w:color="3B6D11" w:sz="8" w:space="0"/>
            </w:tcBorders>
            <w:shd w:fill="EAF3DE" w:val="clear"/>
            <w:tcMar>
              <w:top w:type="dxa" w:w="100"/>
              <w:left w:type="dxa" w:w="180"/>
              <w:bottom w:type="dxa" w:w="100"/>
              <w:right w:type="dxa" w:w="180"/>
            </w:tcMar>
          </w:tcPr>
          <w:p>
            <w:pPr>
              <w:spacing w:after="120"/>
              <w:jc w:val="left"/>
            </w:pPr>
            <w:r>
              <w:rPr>
                <w:rFonts w:ascii="Arial" w:cs="Arial" w:eastAsia="Arial" w:hAnsi="Arial"/>
                <w:sz w:val="18"/>
                <w:szCs w:val="18"/>
              </w:rPr>
              <w:t xml:space="preserve">Accounts is the gate-keeper of the entire order. Production does not start, cargo does not move, and BL originals do not leave NexaCrest's hands — until Accounts gives the green light. Every gate in this SOP exists because someone, somewhere, skipped it and paid the price.</w:t>
            </w:r>
          </w:p>
          <w:p>
            <w:pPr>
              <w:spacing w:after="60"/>
            </w:pPr>
          </w:p>
          <w:p>
            <w:pPr>
              <w:spacing w:after="120"/>
              <w:jc w:val="left"/>
            </w:pPr>
            <w:r>
              <w:rPr>
                <w:rFonts w:ascii="Arial" w:cs="Arial" w:eastAsia="Arial" w:hAnsi="Arial"/>
                <w:b/>
                <w:bCs/>
                <w:sz w:val="18"/>
                <w:szCs w:val="18"/>
              </w:rPr>
              <w:t xml:space="preserve">The consequences of skipping any payment verification step are not recoverable. Once production commences, costs are incurred. Once cargo ships, leverage is gone. Once BL originals are released, NexaCrest has nothing left to negotiate with.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B6D11" w:sz="8" w:space="0"/>
              <w:left w:val="single" w:color="3B6D11" w:sz="8" w:space="0"/>
              <w:bottom w:val="single" w:color="3B6D11" w:sz="8" w:space="0"/>
              <w:right w:val="single" w:color="3B6D11" w:sz="8" w:space="0"/>
            </w:tcBorders>
            <w:shd w:fill="3B6D11" w:val="clear"/>
            <w:tcMar>
              <w:top w:type="dxa" w:w="80"/>
              <w:left w:type="dxa" w:w="160"/>
              <w:bottom w:type="dxa" w:w="80"/>
              <w:right w:type="dxa" w:w="160"/>
            </w:tcMar>
          </w:tcPr>
          <w:p>
            <w:pPr>
              <w:spacing w:after="120"/>
              <w:jc w:val="left"/>
            </w:pPr>
            <w:r>
              <w:rPr>
                <w:rFonts w:ascii="Arial" w:cs="Arial" w:eastAsia="Arial" w:hAnsi="Arial"/>
                <w:b/>
                <w:bCs/>
                <w:color w:val="FFFFFF"/>
                <w:sz w:val="19"/>
                <w:szCs w:val="19"/>
              </w:rPr>
              <w:t xml:space="preserve">STEP-BY-STEP PROCESS — WITH FULL EXPLANATION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c>
          <w:tcPr>
            <w:tcW w:type="dxa" w:w="600"/>
            <w:tcBorders>
              <w:top w:val="single" w:color="3B6D11" w:sz="16" w:space="0"/>
              <w:left w:val="single" w:color="3B6D11" w:sz="16" w:space="0"/>
              <w:bottom w:val="single" w:color="3B6D11" w:sz="4" w:space="0"/>
              <w:right w:val="single" w:color="3B6D11" w:sz="4" w:space="0"/>
            </w:tcBorders>
            <w:shd w:fill="3B6D11" w:val="clear"/>
            <w:tcMar>
              <w:top w:type="dxa" w:w="80"/>
              <w:left w:type="dxa" w:w="100"/>
              <w:bottom w:type="dxa" w:w="60"/>
              <w:right w:type="dxa" w:w="80"/>
            </w:tcMar>
          </w:tcPr>
          <w:p>
            <w:pPr>
              <w:spacing w:after="120"/>
              <w:jc w:val="center"/>
            </w:pPr>
            <w:r>
              <w:rPr>
                <w:rFonts w:ascii="Arial" w:cs="Arial" w:eastAsia="Arial" w:hAnsi="Arial"/>
                <w:b/>
                <w:bCs/>
                <w:color w:val="FFFFFF"/>
                <w:sz w:val="24"/>
                <w:szCs w:val="24"/>
              </w:rPr>
              <w:t xml:space="preserve">STEP 1</w:t>
            </w:r>
          </w:p>
        </w:tc>
        <w:tc>
          <w:tcPr>
            <w:tcW w:type="dxa" w:w="9038"/>
            <w:tcBorders>
              <w:top w:val="single" w:color="3B6D11" w:sz="16" w:space="0"/>
              <w:left w:val="single" w:color="3B6D11" w:sz="4" w:space="0"/>
              <w:bottom w:val="single" w:color="3B6D11" w:sz="4" w:space="0"/>
              <w:right w:val="single" w:color="3B6D11" w:sz="16" w:space="0"/>
            </w:tcBorders>
            <w:shd w:fill="EAF3DE" w:val="clear"/>
            <w:tcMar>
              <w:top w:type="dxa" w:w="80"/>
              <w:left w:type="dxa" w:w="160"/>
              <w:bottom w:type="dxa" w:w="60"/>
              <w:right w:type="dxa" w:w="140"/>
            </w:tcMar>
          </w:tcPr>
          <w:p>
            <w:pPr>
              <w:spacing w:after="120"/>
              <w:jc w:val="left"/>
            </w:pPr>
            <w:r>
              <w:rPr>
                <w:rFonts w:ascii="Arial" w:cs="Arial" w:eastAsia="Arial" w:hAnsi="Arial"/>
                <w:b/>
                <w:bCs/>
                <w:color w:val="17233A"/>
                <w:sz w:val="22"/>
                <w:szCs w:val="22"/>
              </w:rPr>
              <w:t xml:space="preserve">Verify 40% Advance — Cleared Not Remittance Copy</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FFF" w:val="clear"/>
            <w:tcMar>
              <w:top w:type="dxa" w:w="80"/>
              <w:left w:type="dxa" w:w="160"/>
              <w:bottom w:type="dxa" w:w="80"/>
              <w:right w:type="dxa" w:w="140"/>
            </w:tcMar>
          </w:tcPr>
          <w:p>
            <w:pPr>
              <w:spacing w:after="120"/>
              <w:jc w:val="left"/>
            </w:pPr>
            <w:r>
              <w:rPr>
                <w:rFonts w:ascii="Arial" w:cs="Arial" w:eastAsia="Arial" w:hAnsi="Arial"/>
                <w:b/>
                <w:bCs/>
                <w:color w:val="3B6D11"/>
                <w:sz w:val="18"/>
                <w:szCs w:val="18"/>
              </w:rPr>
              <w:t xml:space="preserve">Think of it this way:  </w:t>
            </w:r>
            <w:r>
              <w:rPr>
                <w:rFonts w:ascii="Arial" w:cs="Arial" w:eastAsia="Arial" w:hAnsi="Arial"/>
                <w:i/>
                <w:iCs/>
                <w:color w:val="333333"/>
                <w:sz w:val="18"/>
                <w:szCs w:val="18"/>
              </w:rPr>
              <w:t xml:space="preserve">A buyer sends a remittance copy on Friday afternoon. The sales team is excited — the order is moving. By Monday morning the payment has not arrived. SBI has flagged it for compliance review. The buyer used the wrong RBI Purpose Code. The payment is held. Production was supposed to start Monday. Now what? You call the buyer. They say they sent it. SBI says it is held. You are stuck between two parties — and production cannot start.</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8F8F8"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TO DO:  </w:t>
            </w:r>
            <w:r>
              <w:rPr>
                <w:rFonts w:ascii="Arial" w:cs="Arial" w:eastAsia="Arial" w:hAnsi="Arial"/>
                <w:sz w:val="18"/>
                <w:szCs w:val="18"/>
              </w:rPr>
              <w:t xml:space="preserve">When a remittance copy arrives — do not confirm anything to the sales team yet. Check the NexaCrest SBI account directly — NetBanking or bank statement. Confirm the exact amount is credited and cleared. Check the buyer quoted Purpose Code P0103. If P0103 is missing — contact SBI proactively with the PI reference before they raise a query. Only after cleared funds are confirmed — send written clearance confirmation to Sales.</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HAPPENS IF YOU SKIP THIS:  </w:t>
            </w:r>
            <w:r>
              <w:rPr>
                <w:rFonts w:ascii="Arial" w:cs="Arial" w:eastAsia="Arial" w:hAnsi="Arial"/>
                <w:color w:val="A32D2D"/>
                <w:sz w:val="18"/>
                <w:szCs w:val="18"/>
              </w:rPr>
              <w:t xml:space="preserve">Confirming advance received from a remittance copy alone — and production starting — means NexaCrest begins incurring material and labour costs against an uncollected payment. If the payment is later rejected or returned, the advance is not in the account but production costs are already spent. This is an unrecoverable financial loss.</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3CD" w:val="clear"/>
            <w:tcMar>
              <w:top w:type="dxa" w:w="80"/>
              <w:left w:type="dxa" w:w="160"/>
              <w:bottom w:type="dxa" w:w="80"/>
              <w:right w:type="dxa" w:w="140"/>
            </w:tcMar>
          </w:tcPr>
          <w:p>
            <w:pPr>
              <w:spacing w:after="120"/>
              <w:jc w:val="left"/>
            </w:pPr>
            <w:r>
              <w:rPr>
                <w:rFonts w:ascii="Arial" w:cs="Arial" w:eastAsia="Arial" w:hAnsi="Arial"/>
                <w:b/>
                <w:bCs/>
                <w:color w:val="854F0B"/>
                <w:sz w:val="18"/>
                <w:szCs w:val="18"/>
              </w:rPr>
              <w:t xml:space="preserve">💡  THE SIMPLE FIX:  </w:t>
            </w:r>
            <w:r>
              <w:rPr>
                <w:rFonts w:ascii="Arial" w:cs="Arial" w:eastAsia="Arial" w:hAnsi="Arial"/>
                <w:color w:val="412402"/>
                <w:sz w:val="18"/>
                <w:szCs w:val="18"/>
              </w:rPr>
              <w:t xml:space="preserve">Never confirm clearance from a remittance copy. Only from the bank account. Allow 1–2 banking days. If in doubt — wait.</w:t>
            </w:r>
          </w:p>
        </w:tc>
      </w:tr>
      <w:tr>
        <w:tc>
          <w:tcPr>
            <w:tcW w:type="dxa" w:w="600"/>
            <w:tcBorders>
              <w:top w:val="single" w:color="3B6D11" w:sz="4" w:space="0"/>
              <w:left w:val="single" w:color="3B6D11" w:sz="16" w:space="0"/>
              <w:bottom w:val="single" w:color="3B6D11" w:sz="16"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16"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9"/>
                <w:szCs w:val="19"/>
              </w:rPr>
              <w:t xml:space="preserve">⛔  CLEARED IN BANK ACCOUNT. NOT REMITTANCE COPY. CLEARED MEANS CREDITED AND AVAILABLE.</w:t>
            </w:r>
          </w:p>
          <w:p>
            <w:pPr>
              <w:spacing w:after="0"/>
              <w:jc w:val="left"/>
            </w:pPr>
            <w:r>
              <w:rPr>
                <w:rFonts w:ascii="Arial" w:cs="Arial" w:eastAsia="Arial" w:hAnsi="Arial"/>
                <w:i/>
                <w:iCs/>
                <w:color w:val="666666"/>
                <w:sz w:val="16"/>
                <w:szCs w:val="16"/>
              </w:rPr>
              <w:t xml:space="preserve">📖  For full context on this step — see Format A for the quick version.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c>
          <w:tcPr>
            <w:tcW w:type="dxa" w:w="600"/>
            <w:tcBorders>
              <w:top w:val="single" w:color="3B6D11" w:sz="16" w:space="0"/>
              <w:left w:val="single" w:color="3B6D11" w:sz="16" w:space="0"/>
              <w:bottom w:val="single" w:color="3B6D11" w:sz="4" w:space="0"/>
              <w:right w:val="single" w:color="3B6D11" w:sz="4" w:space="0"/>
            </w:tcBorders>
            <w:shd w:fill="3B6D11" w:val="clear"/>
            <w:tcMar>
              <w:top w:type="dxa" w:w="80"/>
              <w:left w:type="dxa" w:w="100"/>
              <w:bottom w:type="dxa" w:w="60"/>
              <w:right w:type="dxa" w:w="80"/>
            </w:tcMar>
          </w:tcPr>
          <w:p>
            <w:pPr>
              <w:spacing w:after="120"/>
              <w:jc w:val="center"/>
            </w:pPr>
            <w:r>
              <w:rPr>
                <w:rFonts w:ascii="Arial" w:cs="Arial" w:eastAsia="Arial" w:hAnsi="Arial"/>
                <w:b/>
                <w:bCs/>
                <w:color w:val="FFFFFF"/>
                <w:sz w:val="24"/>
                <w:szCs w:val="24"/>
              </w:rPr>
              <w:t xml:space="preserve">STEP 2</w:t>
            </w:r>
          </w:p>
        </w:tc>
        <w:tc>
          <w:tcPr>
            <w:tcW w:type="dxa" w:w="9038"/>
            <w:tcBorders>
              <w:top w:val="single" w:color="3B6D11" w:sz="16" w:space="0"/>
              <w:left w:val="single" w:color="3B6D11" w:sz="4" w:space="0"/>
              <w:bottom w:val="single" w:color="3B6D11" w:sz="4" w:space="0"/>
              <w:right w:val="single" w:color="3B6D11" w:sz="16" w:space="0"/>
            </w:tcBorders>
            <w:shd w:fill="EAF3DE" w:val="clear"/>
            <w:tcMar>
              <w:top w:type="dxa" w:w="80"/>
              <w:left w:type="dxa" w:w="160"/>
              <w:bottom w:type="dxa" w:w="60"/>
              <w:right w:type="dxa" w:w="140"/>
            </w:tcMar>
          </w:tcPr>
          <w:p>
            <w:pPr>
              <w:spacing w:after="120"/>
              <w:jc w:val="left"/>
            </w:pPr>
            <w:r>
              <w:rPr>
                <w:rFonts w:ascii="Arial" w:cs="Arial" w:eastAsia="Arial" w:hAnsi="Arial"/>
                <w:b/>
                <w:bCs/>
                <w:color w:val="17233A"/>
                <w:sz w:val="22"/>
                <w:szCs w:val="22"/>
              </w:rPr>
              <w:t xml:space="preserve">Send Written Clearance to Sales — Same Day</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FFF" w:val="clear"/>
            <w:tcMar>
              <w:top w:type="dxa" w:w="80"/>
              <w:left w:type="dxa" w:w="160"/>
              <w:bottom w:type="dxa" w:w="80"/>
              <w:right w:type="dxa" w:w="140"/>
            </w:tcMar>
          </w:tcPr>
          <w:p>
            <w:pPr>
              <w:spacing w:after="120"/>
              <w:jc w:val="left"/>
            </w:pPr>
            <w:r>
              <w:rPr>
                <w:rFonts w:ascii="Arial" w:cs="Arial" w:eastAsia="Arial" w:hAnsi="Arial"/>
                <w:b/>
                <w:bCs/>
                <w:color w:val="3B6D11"/>
                <w:sz w:val="18"/>
                <w:szCs w:val="18"/>
              </w:rPr>
              <w:t xml:space="preserve">Think of it this way:  </w:t>
            </w:r>
            <w:r>
              <w:rPr>
                <w:rFonts w:ascii="Arial" w:cs="Arial" w:eastAsia="Arial" w:hAnsi="Arial"/>
                <w:i/>
                <w:iCs/>
                <w:color w:val="333333"/>
                <w:sz w:val="18"/>
                <w:szCs w:val="18"/>
              </w:rPr>
              <w:t xml:space="preserve">Accounts verbally tells the sales team 'the payment is in.' The sales team tells production to start. Two weeks later a dispute arises about when production commenced. The buyer claims production commences before they paid. The sales team says Accounts confirmed it. Accounts does not remember the exact date of the verbal confirmation. Nobody has a written record of when clearance was given. Now the timeline of the order is in question.</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8F8F8"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TO DO:  </w:t>
            </w:r>
            <w:r>
              <w:rPr>
                <w:rFonts w:ascii="Arial" w:cs="Arial" w:eastAsia="Arial" w:hAnsi="Arial"/>
                <w:sz w:val="18"/>
                <w:szCs w:val="18"/>
              </w:rPr>
              <w:t xml:space="preserve">The moment clearance is confirmed — send a written email to the Sales Officer and MD: 'Advance of USD [XXXXX] against PI No. [XXXXX] cleared on [DD Month YYYY]. Production may commence.' Copy this email to the order folder. Record the cleared date in the Order Data Sheet Tab 1, Section 6.</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HAPPENS IF YOU SKIP THIS:  </w:t>
            </w:r>
            <w:r>
              <w:rPr>
                <w:rFonts w:ascii="Arial" w:cs="Arial" w:eastAsia="Arial" w:hAnsi="Arial"/>
                <w:color w:val="A32D2D"/>
                <w:sz w:val="18"/>
                <w:szCs w:val="18"/>
              </w:rPr>
              <w:t xml:space="preserve">Without a written clearance record, the production start date becomes disputed territory. In any timeline dispute the question will be — when did Accounts confirm the advance was cleared? If the answer is 'we told them verbally' — that is a gap in the evidence chain. A gap that benefits the other party.</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3CD" w:val="clear"/>
            <w:tcMar>
              <w:top w:type="dxa" w:w="80"/>
              <w:left w:type="dxa" w:w="160"/>
              <w:bottom w:type="dxa" w:w="80"/>
              <w:right w:type="dxa" w:w="140"/>
            </w:tcMar>
          </w:tcPr>
          <w:p>
            <w:pPr>
              <w:spacing w:after="120"/>
              <w:jc w:val="left"/>
            </w:pPr>
            <w:r>
              <w:rPr>
                <w:rFonts w:ascii="Arial" w:cs="Arial" w:eastAsia="Arial" w:hAnsi="Arial"/>
                <w:b/>
                <w:bCs/>
                <w:color w:val="854F0B"/>
                <w:sz w:val="18"/>
                <w:szCs w:val="18"/>
              </w:rPr>
              <w:t xml:space="preserve">💡  THE SIMPLE FIX:  </w:t>
            </w:r>
            <w:r>
              <w:rPr>
                <w:rFonts w:ascii="Arial" w:cs="Arial" w:eastAsia="Arial" w:hAnsi="Arial"/>
                <w:color w:val="412402"/>
                <w:sz w:val="18"/>
                <w:szCs w:val="18"/>
              </w:rPr>
              <w:t xml:space="preserve">One email. Thirty seconds. Permanent record. Send it the same day clearance is confirmed — not the next day, not when you remember.</w:t>
            </w:r>
          </w:p>
        </w:tc>
      </w:tr>
      <w:tr>
        <w:tc>
          <w:tcPr>
            <w:tcW w:type="dxa" w:w="600"/>
            <w:tcBorders>
              <w:top w:val="single" w:color="3B6D11" w:sz="4" w:space="0"/>
              <w:left w:val="single" w:color="3B6D11" w:sz="16" w:space="0"/>
              <w:bottom w:val="single" w:color="3B6D11" w:sz="16"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16"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9"/>
                <w:szCs w:val="19"/>
              </w:rPr>
              <w:t xml:space="preserve">⛔  WRITTEN CLEARANCE EMAIL — SAME DAY. RECORD IN ORDER DATA SHEET.</w:t>
            </w:r>
          </w:p>
          <w:p>
            <w:pPr>
              <w:spacing w:after="0"/>
              <w:jc w:val="left"/>
            </w:pPr>
            <w:r>
              <w:rPr>
                <w:rFonts w:ascii="Arial" w:cs="Arial" w:eastAsia="Arial" w:hAnsi="Arial"/>
                <w:i/>
                <w:iCs/>
                <w:color w:val="666666"/>
                <w:sz w:val="16"/>
                <w:szCs w:val="16"/>
              </w:rPr>
              <w:t xml:space="preserve">📖  For full context on this step — see Format A for the quick version.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c>
          <w:tcPr>
            <w:tcW w:type="dxa" w:w="600"/>
            <w:tcBorders>
              <w:top w:val="single" w:color="3B6D11" w:sz="16" w:space="0"/>
              <w:left w:val="single" w:color="3B6D11" w:sz="16" w:space="0"/>
              <w:bottom w:val="single" w:color="3B6D11" w:sz="4" w:space="0"/>
              <w:right w:val="single" w:color="3B6D11" w:sz="4" w:space="0"/>
            </w:tcBorders>
            <w:shd w:fill="3B6D11" w:val="clear"/>
            <w:tcMar>
              <w:top w:type="dxa" w:w="80"/>
              <w:left w:type="dxa" w:w="100"/>
              <w:bottom w:type="dxa" w:w="60"/>
              <w:right w:type="dxa" w:w="80"/>
            </w:tcMar>
          </w:tcPr>
          <w:p>
            <w:pPr>
              <w:spacing w:after="120"/>
              <w:jc w:val="center"/>
            </w:pPr>
            <w:r>
              <w:rPr>
                <w:rFonts w:ascii="Arial" w:cs="Arial" w:eastAsia="Arial" w:hAnsi="Arial"/>
                <w:b/>
                <w:bCs/>
                <w:color w:val="FFFFFF"/>
                <w:sz w:val="24"/>
                <w:szCs w:val="24"/>
              </w:rPr>
              <w:t xml:space="preserve">STEP 3</w:t>
            </w:r>
          </w:p>
        </w:tc>
        <w:tc>
          <w:tcPr>
            <w:tcW w:type="dxa" w:w="9038"/>
            <w:tcBorders>
              <w:top w:val="single" w:color="3B6D11" w:sz="16" w:space="0"/>
              <w:left w:val="single" w:color="3B6D11" w:sz="4" w:space="0"/>
              <w:bottom w:val="single" w:color="3B6D11" w:sz="4" w:space="0"/>
              <w:right w:val="single" w:color="3B6D11" w:sz="16" w:space="0"/>
            </w:tcBorders>
            <w:shd w:fill="EAF3DE" w:val="clear"/>
            <w:tcMar>
              <w:top w:type="dxa" w:w="80"/>
              <w:left w:type="dxa" w:w="160"/>
              <w:bottom w:type="dxa" w:w="60"/>
              <w:right w:type="dxa" w:w="140"/>
            </w:tcMar>
          </w:tcPr>
          <w:p>
            <w:pPr>
              <w:spacing w:after="120"/>
              <w:jc w:val="left"/>
            </w:pPr>
            <w:r>
              <w:rPr>
                <w:rFonts w:ascii="Arial" w:cs="Arial" w:eastAsia="Arial" w:hAnsi="Arial"/>
                <w:b/>
                <w:bCs/>
                <w:color w:val="17233A"/>
                <w:sz w:val="22"/>
                <w:szCs w:val="22"/>
              </w:rPr>
              <w:t xml:space="preserve">Issue FDN — Confirmed Rate Only</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FFF" w:val="clear"/>
            <w:tcMar>
              <w:top w:type="dxa" w:w="80"/>
              <w:left w:type="dxa" w:w="160"/>
              <w:bottom w:type="dxa" w:w="80"/>
              <w:right w:type="dxa" w:w="140"/>
            </w:tcMar>
          </w:tcPr>
          <w:p>
            <w:pPr>
              <w:spacing w:after="120"/>
              <w:jc w:val="left"/>
            </w:pPr>
            <w:r>
              <w:rPr>
                <w:rFonts w:ascii="Arial" w:cs="Arial" w:eastAsia="Arial" w:hAnsi="Arial"/>
                <w:b/>
                <w:bCs/>
                <w:color w:val="3B6D11"/>
                <w:sz w:val="18"/>
                <w:szCs w:val="18"/>
              </w:rPr>
              <w:t xml:space="preserve">Think of it this way:  </w:t>
            </w:r>
            <w:r>
              <w:rPr>
                <w:rFonts w:ascii="Arial" w:cs="Arial" w:eastAsia="Arial" w:hAnsi="Arial"/>
                <w:i/>
                <w:iCs/>
                <w:color w:val="333333"/>
                <w:sz w:val="18"/>
                <w:szCs w:val="18"/>
              </w:rPr>
              <w:t xml:space="preserve">A buyer is on CFR terms. You issue the Debit Note with an estimated freight rate because the shipping line has not confirmed the final rate yet. The buyer pays the FDN. The actual freight is higher than estimated. Now NexaCrest must absorb the difference or go back to the buyer for more money. The buyer refuses — they paid the FDN as invoiced. You are stuck with a shortfall.</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8F8F8"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TO DO:  </w:t>
            </w:r>
            <w:r>
              <w:rPr>
                <w:rFonts w:ascii="Arial" w:cs="Arial" w:eastAsia="Arial" w:hAnsi="Arial"/>
                <w:sz w:val="18"/>
                <w:szCs w:val="18"/>
              </w:rPr>
              <w:t xml:space="preserve">For CFR and CIF orders — obtain the confirmed freight rate from the shipping line or freight forwarder before issuing the FDN. Not estimated. Confirmed. Issue the FDN only after the confirmed rate is in hand. Payment deadline: 3 Calendar Days. Verify P0602 is the RBI Purpose Code shown. Sign, seal, send.</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HAPPENS IF YOU SKIP THIS:  </w:t>
            </w:r>
            <w:r>
              <w:rPr>
                <w:rFonts w:ascii="Arial" w:cs="Arial" w:eastAsia="Arial" w:hAnsi="Arial"/>
                <w:color w:val="A32D2D"/>
                <w:sz w:val="18"/>
                <w:szCs w:val="18"/>
              </w:rPr>
              <w:t xml:space="preserve">An FDN issued on estimated freight creates a financial exposure. If freight is higher — NexaCrest absorbs the loss or faces a dispute trying to recover the difference. If freight is lower — the buyer may request a refund of the excess. Either way the order becomes administratively complicated.</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3CD" w:val="clear"/>
            <w:tcMar>
              <w:top w:type="dxa" w:w="80"/>
              <w:left w:type="dxa" w:w="160"/>
              <w:bottom w:type="dxa" w:w="80"/>
              <w:right w:type="dxa" w:w="140"/>
            </w:tcMar>
          </w:tcPr>
          <w:p>
            <w:pPr>
              <w:spacing w:after="120"/>
              <w:jc w:val="left"/>
            </w:pPr>
            <w:r>
              <w:rPr>
                <w:rFonts w:ascii="Arial" w:cs="Arial" w:eastAsia="Arial" w:hAnsi="Arial"/>
                <w:b/>
                <w:bCs/>
                <w:color w:val="854F0B"/>
                <w:sz w:val="18"/>
                <w:szCs w:val="18"/>
              </w:rPr>
              <w:t xml:space="preserve">💡  THE SIMPLE FIX:  </w:t>
            </w:r>
            <w:r>
              <w:rPr>
                <w:rFonts w:ascii="Arial" w:cs="Arial" w:eastAsia="Arial" w:hAnsi="Arial"/>
                <w:color w:val="412402"/>
                <w:sz w:val="18"/>
                <w:szCs w:val="18"/>
              </w:rPr>
              <w:t xml:space="preserve">Call the shipping line or freight agent. Get the confirmed rate in writing — email is fine. Use that rate. Issue the FDN. No estimated rates on any commercial document.</w:t>
            </w:r>
          </w:p>
        </w:tc>
      </w:tr>
      <w:tr>
        <w:tc>
          <w:tcPr>
            <w:tcW w:type="dxa" w:w="600"/>
            <w:tcBorders>
              <w:top w:val="single" w:color="3B6D11" w:sz="4" w:space="0"/>
              <w:left w:val="single" w:color="3B6D11" w:sz="16" w:space="0"/>
              <w:bottom w:val="single" w:color="3B6D11" w:sz="16"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16"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9"/>
                <w:szCs w:val="19"/>
              </w:rPr>
              <w:t xml:space="preserve">⛔  CONFIRMED FREIGHT RATE ONLY. NO ESTIMATES ON FDN.</w:t>
            </w:r>
          </w:p>
          <w:p>
            <w:pPr>
              <w:spacing w:after="0"/>
              <w:jc w:val="left"/>
            </w:pPr>
            <w:r>
              <w:rPr>
                <w:rFonts w:ascii="Arial" w:cs="Arial" w:eastAsia="Arial" w:hAnsi="Arial"/>
                <w:i/>
                <w:iCs/>
                <w:color w:val="666666"/>
                <w:sz w:val="16"/>
                <w:szCs w:val="16"/>
              </w:rPr>
              <w:t xml:space="preserve">📖  For full context on this step — see Format A for the quick version.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c>
          <w:tcPr>
            <w:tcW w:type="dxa" w:w="600"/>
            <w:tcBorders>
              <w:top w:val="single" w:color="3B6D11" w:sz="16" w:space="0"/>
              <w:left w:val="single" w:color="3B6D11" w:sz="16" w:space="0"/>
              <w:bottom w:val="single" w:color="3B6D11" w:sz="4" w:space="0"/>
              <w:right w:val="single" w:color="3B6D11" w:sz="4" w:space="0"/>
            </w:tcBorders>
            <w:shd w:fill="3B6D11" w:val="clear"/>
            <w:tcMar>
              <w:top w:type="dxa" w:w="80"/>
              <w:left w:type="dxa" w:w="100"/>
              <w:bottom w:type="dxa" w:w="60"/>
              <w:right w:type="dxa" w:w="80"/>
            </w:tcMar>
          </w:tcPr>
          <w:p>
            <w:pPr>
              <w:spacing w:after="120"/>
              <w:jc w:val="center"/>
            </w:pPr>
            <w:r>
              <w:rPr>
                <w:rFonts w:ascii="Arial" w:cs="Arial" w:eastAsia="Arial" w:hAnsi="Arial"/>
                <w:b/>
                <w:bCs/>
                <w:color w:val="FFFFFF"/>
                <w:sz w:val="24"/>
                <w:szCs w:val="24"/>
              </w:rPr>
              <w:t xml:space="preserve">STEP 4</w:t>
            </w:r>
          </w:p>
        </w:tc>
        <w:tc>
          <w:tcPr>
            <w:tcW w:type="dxa" w:w="9038"/>
            <w:tcBorders>
              <w:top w:val="single" w:color="3B6D11" w:sz="16" w:space="0"/>
              <w:left w:val="single" w:color="3B6D11" w:sz="4" w:space="0"/>
              <w:bottom w:val="single" w:color="3B6D11" w:sz="4" w:space="0"/>
              <w:right w:val="single" w:color="3B6D11" w:sz="16" w:space="0"/>
            </w:tcBorders>
            <w:shd w:fill="EAF3DE" w:val="clear"/>
            <w:tcMar>
              <w:top w:type="dxa" w:w="80"/>
              <w:left w:type="dxa" w:w="160"/>
              <w:bottom w:type="dxa" w:w="60"/>
              <w:right w:type="dxa" w:w="140"/>
            </w:tcMar>
          </w:tcPr>
          <w:p>
            <w:pPr>
              <w:spacing w:after="120"/>
              <w:jc w:val="left"/>
            </w:pPr>
            <w:r>
              <w:rPr>
                <w:rFonts w:ascii="Arial" w:cs="Arial" w:eastAsia="Arial" w:hAnsi="Arial"/>
                <w:b/>
                <w:bCs/>
                <w:color w:val="17233A"/>
                <w:sz w:val="22"/>
                <w:szCs w:val="22"/>
              </w:rPr>
              <w:t xml:space="preserve">Payment Dispute Protocol — If Buyer Pushes Back Mid-Order</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FFF" w:val="clear"/>
            <w:tcMar>
              <w:top w:type="dxa" w:w="80"/>
              <w:left w:type="dxa" w:w="160"/>
              <w:bottom w:type="dxa" w:w="80"/>
              <w:right w:type="dxa" w:w="140"/>
            </w:tcMar>
          </w:tcPr>
          <w:p>
            <w:pPr>
              <w:spacing w:after="120"/>
              <w:jc w:val="left"/>
            </w:pPr>
            <w:r>
              <w:rPr>
                <w:rFonts w:ascii="Arial" w:cs="Arial" w:eastAsia="Arial" w:hAnsi="Arial"/>
                <w:b/>
                <w:bCs/>
                <w:color w:val="3B6D11"/>
                <w:sz w:val="18"/>
                <w:szCs w:val="18"/>
              </w:rPr>
              <w:t xml:space="preserve">Think of it this way:  </w:t>
            </w:r>
            <w:r>
              <w:rPr>
                <w:rFonts w:ascii="Arial" w:cs="Arial" w:eastAsia="Arial" w:hAnsi="Arial"/>
                <w:i/>
                <w:iCs/>
                <w:color w:val="333333"/>
                <w:sz w:val="18"/>
                <w:szCs w:val="18"/>
              </w:rPr>
              <w:t xml:space="preserve">Production is complete. Cargo is packed. The buyer was supposed to pay the Balance Payment before shipment. Instead they send an email saying the freight is too high and they want to renegotiate the total. You reply trying to be accommodating — 'let us see what we can do.' That reply — 'let us see what we can do' — is now evidence that NexaCrest was open to renegotiating. The buyer's lawyer uses it to argue NexaCrest agreed to vary the terms.</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8F8F8"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TO DO:  </w:t>
            </w:r>
            <w:r>
              <w:rPr>
                <w:rFonts w:ascii="Arial" w:cs="Arial" w:eastAsia="Arial" w:hAnsi="Arial"/>
                <w:sz w:val="18"/>
                <w:szCs w:val="18"/>
              </w:rPr>
              <w:t xml:space="preserve">If a buyer disputes payment terms, questions any amount, or refuses to pay — immediately: stop all production, packing and shipment activity. Inform MD same day. Do not reply to the buyer about substance without MD approval. Your first and only reply must be: cite the Payment Terms Finality clause — state the terms are fixed and binding as per the accepted PI. Nothing more. Nothing less. Preserve all evidence. Hand the complete order file to MD.</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HAPPENS IF YOU SKIP THIS:  </w:t>
            </w:r>
            <w:r>
              <w:rPr>
                <w:rFonts w:ascii="Arial" w:cs="Arial" w:eastAsia="Arial" w:hAnsi="Arial"/>
                <w:color w:val="A32D2D"/>
                <w:sz w:val="18"/>
                <w:szCs w:val="18"/>
              </w:rPr>
              <w:t xml:space="preserve">Every accommodating word in a dispute reply becomes ammunition for the other side. 'Let us see what we can do' means you are open to changing terms. 'We can discuss' means the terms are negotiable. 'We understand your concern' means you acknowledge the concern has merit. None of these should ever appear in a dispute reply without MD review.</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3CD" w:val="clear"/>
            <w:tcMar>
              <w:top w:type="dxa" w:w="80"/>
              <w:left w:type="dxa" w:w="160"/>
              <w:bottom w:type="dxa" w:w="80"/>
              <w:right w:type="dxa" w:w="140"/>
            </w:tcMar>
          </w:tcPr>
          <w:p>
            <w:pPr>
              <w:spacing w:after="120"/>
              <w:jc w:val="left"/>
            </w:pPr>
            <w:r>
              <w:rPr>
                <w:rFonts w:ascii="Arial" w:cs="Arial" w:eastAsia="Arial" w:hAnsi="Arial"/>
                <w:b/>
                <w:bCs/>
                <w:color w:val="854F0B"/>
                <w:sz w:val="18"/>
                <w:szCs w:val="18"/>
              </w:rPr>
              <w:t xml:space="preserve">💡  THE SIMPLE FIX:  </w:t>
            </w:r>
            <w:r>
              <w:rPr>
                <w:rFonts w:ascii="Arial" w:cs="Arial" w:eastAsia="Arial" w:hAnsi="Arial"/>
                <w:color w:val="412402"/>
                <w:sz w:val="18"/>
                <w:szCs w:val="18"/>
              </w:rPr>
              <w:t xml:space="preserve">In a dispute — say less, not more. Cite the clause. State the position. Stop. Wait for MD direction.</w:t>
            </w:r>
          </w:p>
        </w:tc>
      </w:tr>
      <w:tr>
        <w:tc>
          <w:tcPr>
            <w:tcW w:type="dxa" w:w="600"/>
            <w:tcBorders>
              <w:top w:val="single" w:color="3B6D11" w:sz="4" w:space="0"/>
              <w:left w:val="single" w:color="3B6D11" w:sz="16" w:space="0"/>
              <w:bottom w:val="single" w:color="3B6D11" w:sz="16"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16"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9"/>
                <w:szCs w:val="19"/>
              </w:rPr>
              <w:t xml:space="preserve">⛔  DISPUTE = STOP EVERYTHING + INFORM MD + CITE THE CLAUSE + NOTHING MORE.</w:t>
            </w:r>
          </w:p>
          <w:p>
            <w:pPr>
              <w:spacing w:after="0"/>
              <w:jc w:val="left"/>
            </w:pPr>
            <w:r>
              <w:rPr>
                <w:rFonts w:ascii="Arial" w:cs="Arial" w:eastAsia="Arial" w:hAnsi="Arial"/>
                <w:i/>
                <w:iCs/>
                <w:color w:val="666666"/>
                <w:sz w:val="16"/>
                <w:szCs w:val="16"/>
              </w:rPr>
              <w:t xml:space="preserve">📖  For full context on this step — see Format A for the quick version.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c>
          <w:tcPr>
            <w:tcW w:type="dxa" w:w="600"/>
            <w:tcBorders>
              <w:top w:val="single" w:color="3B6D11" w:sz="16" w:space="0"/>
              <w:left w:val="single" w:color="3B6D11" w:sz="16" w:space="0"/>
              <w:bottom w:val="single" w:color="3B6D11" w:sz="4" w:space="0"/>
              <w:right w:val="single" w:color="3B6D11" w:sz="4" w:space="0"/>
            </w:tcBorders>
            <w:shd w:fill="3B6D11" w:val="clear"/>
            <w:tcMar>
              <w:top w:type="dxa" w:w="80"/>
              <w:left w:type="dxa" w:w="100"/>
              <w:bottom w:type="dxa" w:w="60"/>
              <w:right w:type="dxa" w:w="80"/>
            </w:tcMar>
          </w:tcPr>
          <w:p>
            <w:pPr>
              <w:spacing w:after="120"/>
              <w:jc w:val="center"/>
            </w:pPr>
            <w:r>
              <w:rPr>
                <w:rFonts w:ascii="Arial" w:cs="Arial" w:eastAsia="Arial" w:hAnsi="Arial"/>
                <w:b/>
                <w:bCs/>
                <w:color w:val="FFFFFF"/>
                <w:sz w:val="24"/>
                <w:szCs w:val="24"/>
              </w:rPr>
              <w:t xml:space="preserve">STEP 5</w:t>
            </w:r>
          </w:p>
        </w:tc>
        <w:tc>
          <w:tcPr>
            <w:tcW w:type="dxa" w:w="9038"/>
            <w:tcBorders>
              <w:top w:val="single" w:color="3B6D11" w:sz="16" w:space="0"/>
              <w:left w:val="single" w:color="3B6D11" w:sz="4" w:space="0"/>
              <w:bottom w:val="single" w:color="3B6D11" w:sz="4" w:space="0"/>
              <w:right w:val="single" w:color="3B6D11" w:sz="16" w:space="0"/>
            </w:tcBorders>
            <w:shd w:fill="EAF3DE" w:val="clear"/>
            <w:tcMar>
              <w:top w:type="dxa" w:w="80"/>
              <w:left w:type="dxa" w:w="160"/>
              <w:bottom w:type="dxa" w:w="60"/>
              <w:right w:type="dxa" w:w="140"/>
            </w:tcMar>
          </w:tcPr>
          <w:p>
            <w:pPr>
              <w:spacing w:after="120"/>
              <w:jc w:val="left"/>
            </w:pPr>
            <w:r>
              <w:rPr>
                <w:rFonts w:ascii="Arial" w:cs="Arial" w:eastAsia="Arial" w:hAnsi="Arial"/>
                <w:b/>
                <w:bCs/>
                <w:color w:val="17233A"/>
                <w:sz w:val="22"/>
                <w:szCs w:val="22"/>
              </w:rPr>
              <w:t xml:space="preserve">Track 60% Balance — 7 Working Days from BL Date</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FFF" w:val="clear"/>
            <w:tcMar>
              <w:top w:type="dxa" w:w="80"/>
              <w:left w:type="dxa" w:w="160"/>
              <w:bottom w:type="dxa" w:w="80"/>
              <w:right w:type="dxa" w:w="140"/>
            </w:tcMar>
          </w:tcPr>
          <w:p>
            <w:pPr>
              <w:spacing w:after="120"/>
              <w:jc w:val="left"/>
            </w:pPr>
            <w:r>
              <w:rPr>
                <w:rFonts w:ascii="Arial" w:cs="Arial" w:eastAsia="Arial" w:hAnsi="Arial"/>
                <w:b/>
                <w:bCs/>
                <w:color w:val="3B6D11"/>
                <w:sz w:val="18"/>
                <w:szCs w:val="18"/>
              </w:rPr>
              <w:t xml:space="preserve">Think of it this way:  </w:t>
            </w:r>
            <w:r>
              <w:rPr>
                <w:rFonts w:ascii="Arial" w:cs="Arial" w:eastAsia="Arial" w:hAnsi="Arial"/>
                <w:i/>
                <w:iCs/>
                <w:color w:val="333333"/>
                <w:sz w:val="18"/>
                <w:szCs w:val="18"/>
              </w:rPr>
              <w:t xml:space="preserve">The scanned BL copy is sent to the buyer on a Monday. Tuesday passes. Wednesday passes. Thursday — still no payment. You assume the buyer is processing. Friday — end of day — still nothing. Day 7 is next Monday. You follow up Monday morning. The buyer says they sent it Friday. You wait. By Wednesday it is not in the account. The 7-day window has passed. The buyer is now technically in default. But you waited too long to follow up and now the situation feels informal.</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8F8F8"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TO DO:  </w:t>
            </w:r>
            <w:r>
              <w:rPr>
                <w:rFonts w:ascii="Arial" w:cs="Arial" w:eastAsia="Arial" w:hAnsi="Arial"/>
                <w:sz w:val="18"/>
                <w:szCs w:val="18"/>
              </w:rPr>
              <w:t xml:space="preserve">The moment the scanned BL copy is sent to the buyer — record the BL date in the Order Data Sheet. Set a follow-up reminder for Day 5. On Day 5 — send a polite written follow-up referencing the 7-day payment window and the CI number. On Day 7 — if payment not received — escalate to MD immediately. Do not wait for Day 8 hoping the payment arrives.</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HAPPENS IF YOU SKIP THIS:  </w:t>
            </w:r>
            <w:r>
              <w:rPr>
                <w:rFonts w:ascii="Arial" w:cs="Arial" w:eastAsia="Arial" w:hAnsi="Arial"/>
                <w:color w:val="A32D2D"/>
                <w:sz w:val="18"/>
                <w:szCs w:val="18"/>
              </w:rPr>
              <w:t xml:space="preserve">A buyer who receives no follow-up assumes the deadline is flexible. A buyer who receives a Day 5 reminder knows you are tracking the timeline. The follow-up is not aggressive — it is professional. It also creates a written record that NexaCrest reminded the buyer of the payment obligation on a specific date.</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3CD" w:val="clear"/>
            <w:tcMar>
              <w:top w:type="dxa" w:w="80"/>
              <w:left w:type="dxa" w:w="160"/>
              <w:bottom w:type="dxa" w:w="80"/>
              <w:right w:type="dxa" w:w="140"/>
            </w:tcMar>
          </w:tcPr>
          <w:p>
            <w:pPr>
              <w:spacing w:after="120"/>
              <w:jc w:val="left"/>
            </w:pPr>
            <w:r>
              <w:rPr>
                <w:rFonts w:ascii="Arial" w:cs="Arial" w:eastAsia="Arial" w:hAnsi="Arial"/>
                <w:b/>
                <w:bCs/>
                <w:color w:val="854F0B"/>
                <w:sz w:val="18"/>
                <w:szCs w:val="18"/>
              </w:rPr>
              <w:t xml:space="preserve">💡  THE SIMPLE FIX:  </w:t>
            </w:r>
            <w:r>
              <w:rPr>
                <w:rFonts w:ascii="Arial" w:cs="Arial" w:eastAsia="Arial" w:hAnsi="Arial"/>
                <w:color w:val="412402"/>
                <w:sz w:val="18"/>
                <w:szCs w:val="18"/>
              </w:rPr>
              <w:t xml:space="preserve">Set the Day 5 reminder the same day you send the BL copy. Do not rely on memory. Calendar it.</w:t>
            </w:r>
          </w:p>
        </w:tc>
      </w:tr>
      <w:tr>
        <w:tc>
          <w:tcPr>
            <w:tcW w:type="dxa" w:w="600"/>
            <w:tcBorders>
              <w:top w:val="single" w:color="3B6D11" w:sz="4" w:space="0"/>
              <w:left w:val="single" w:color="3B6D11" w:sz="16" w:space="0"/>
              <w:bottom w:val="single" w:color="3B6D11" w:sz="16"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16"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9"/>
                <w:szCs w:val="19"/>
              </w:rPr>
              <w:t xml:space="preserve">⛔  DAY 5 FOLLOW-UP WITHOUT FAIL. DAY 7 ESCALATE TO MD.</w:t>
            </w:r>
          </w:p>
          <w:p>
            <w:pPr>
              <w:spacing w:after="0"/>
              <w:jc w:val="left"/>
            </w:pPr>
            <w:r>
              <w:rPr>
                <w:rFonts w:ascii="Arial" w:cs="Arial" w:eastAsia="Arial" w:hAnsi="Arial"/>
                <w:i/>
                <w:iCs/>
                <w:color w:val="666666"/>
                <w:sz w:val="16"/>
                <w:szCs w:val="16"/>
              </w:rPr>
              <w:t xml:space="preserve">📖  For full context on this step — see Format A for the quick version.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c>
          <w:tcPr>
            <w:tcW w:type="dxa" w:w="600"/>
            <w:tcBorders>
              <w:top w:val="single" w:color="3B6D11" w:sz="16" w:space="0"/>
              <w:left w:val="single" w:color="3B6D11" w:sz="16" w:space="0"/>
              <w:bottom w:val="single" w:color="3B6D11" w:sz="4" w:space="0"/>
              <w:right w:val="single" w:color="3B6D11" w:sz="4" w:space="0"/>
            </w:tcBorders>
            <w:shd w:fill="3B6D11" w:val="clear"/>
            <w:tcMar>
              <w:top w:type="dxa" w:w="80"/>
              <w:left w:type="dxa" w:w="100"/>
              <w:bottom w:type="dxa" w:w="60"/>
              <w:right w:type="dxa" w:w="80"/>
            </w:tcMar>
          </w:tcPr>
          <w:p>
            <w:pPr>
              <w:spacing w:after="120"/>
              <w:jc w:val="center"/>
            </w:pPr>
            <w:r>
              <w:rPr>
                <w:rFonts w:ascii="Arial" w:cs="Arial" w:eastAsia="Arial" w:hAnsi="Arial"/>
                <w:b/>
                <w:bCs/>
                <w:color w:val="FFFFFF"/>
                <w:sz w:val="24"/>
                <w:szCs w:val="24"/>
              </w:rPr>
              <w:t xml:space="preserve">STEP 6</w:t>
            </w:r>
          </w:p>
        </w:tc>
        <w:tc>
          <w:tcPr>
            <w:tcW w:type="dxa" w:w="9038"/>
            <w:tcBorders>
              <w:top w:val="single" w:color="3B6D11" w:sz="16" w:space="0"/>
              <w:left w:val="single" w:color="3B6D11" w:sz="4" w:space="0"/>
              <w:bottom w:val="single" w:color="3B6D11" w:sz="4" w:space="0"/>
              <w:right w:val="single" w:color="3B6D11" w:sz="16" w:space="0"/>
            </w:tcBorders>
            <w:shd w:fill="EAF3DE" w:val="clear"/>
            <w:tcMar>
              <w:top w:type="dxa" w:w="80"/>
              <w:left w:type="dxa" w:w="160"/>
              <w:bottom w:type="dxa" w:w="60"/>
              <w:right w:type="dxa" w:w="140"/>
            </w:tcMar>
          </w:tcPr>
          <w:p>
            <w:pPr>
              <w:spacing w:after="120"/>
              <w:jc w:val="left"/>
            </w:pPr>
            <w:r>
              <w:rPr>
                <w:rFonts w:ascii="Arial" w:cs="Arial" w:eastAsia="Arial" w:hAnsi="Arial"/>
                <w:b/>
                <w:bCs/>
                <w:color w:val="17233A"/>
                <w:sz w:val="22"/>
                <w:szCs w:val="22"/>
              </w:rPr>
              <w:t xml:space="preserve">Verify 60% Balance — Cleared Before Endorsing BL</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FFF" w:val="clear"/>
            <w:tcMar>
              <w:top w:type="dxa" w:w="80"/>
              <w:left w:type="dxa" w:w="160"/>
              <w:bottom w:type="dxa" w:w="80"/>
              <w:right w:type="dxa" w:w="140"/>
            </w:tcMar>
          </w:tcPr>
          <w:p>
            <w:pPr>
              <w:spacing w:after="120"/>
              <w:jc w:val="left"/>
            </w:pPr>
            <w:r>
              <w:rPr>
                <w:rFonts w:ascii="Arial" w:cs="Arial" w:eastAsia="Arial" w:hAnsi="Arial"/>
                <w:b/>
                <w:bCs/>
                <w:color w:val="3B6D11"/>
                <w:sz w:val="18"/>
                <w:szCs w:val="18"/>
              </w:rPr>
              <w:t xml:space="preserve">Think of it this way:  </w:t>
            </w:r>
            <w:r>
              <w:rPr>
                <w:rFonts w:ascii="Arial" w:cs="Arial" w:eastAsia="Arial" w:hAnsi="Arial"/>
                <w:i/>
                <w:iCs/>
                <w:color w:val="333333"/>
                <w:sz w:val="18"/>
                <w:szCs w:val="18"/>
              </w:rPr>
              <w:t xml:space="preserve">The buyer sends a payment confirmation at 4pm. You tell Logistics to endorse the BL originals and courier them. The next morning the payment has not arrived in the account. SBI is processing it. The buyer has already told their customs agent that the BL originals are on the way. You call Logistics — the courier has already collected the package. The BL originals are in transit. If the payment is ultimately rejected — NexaCrest has lost the only leverage it had.</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8F8F8"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TO DO:  </w:t>
            </w:r>
            <w:r>
              <w:rPr>
                <w:rFonts w:ascii="Arial" w:cs="Arial" w:eastAsia="Arial" w:hAnsi="Arial"/>
                <w:sz w:val="18"/>
                <w:szCs w:val="18"/>
              </w:rPr>
              <w:t xml:space="preserve">Do not instruct Logistics to endorse or release BL originals until Accounts confirms the Balance Payment is CLEARED in the SBI account — not Payment Cleared by buyer, not payment confirmation email, not a T/T screenshot. Cleared means the funds are in the account and available. Send Logistics a written email: 'Balance of USD [XXXXX] against CI No. [XXXXX] cleared on [DD Month YYYY]. BL originals may be endorsed and released.'</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HAPPENS IF YOU SKIP THIS:  </w:t>
            </w:r>
            <w:r>
              <w:rPr>
                <w:rFonts w:ascii="Arial" w:cs="Arial" w:eastAsia="Arial" w:hAnsi="Arial"/>
                <w:color w:val="A32D2D"/>
                <w:sz w:val="18"/>
                <w:szCs w:val="18"/>
              </w:rPr>
              <w:t xml:space="preserve">BL originals are the document of title. They control the cargo. Once released — NexaCrest has no leverage. If the payment is later reversed or rejected, there is no way to get the cargo back. The buyer has the goods and NexaCrest has nothing. This is the single most catastrophic mistake in export finance.</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3CD" w:val="clear"/>
            <w:tcMar>
              <w:top w:type="dxa" w:w="80"/>
              <w:left w:type="dxa" w:w="160"/>
              <w:bottom w:type="dxa" w:w="80"/>
              <w:right w:type="dxa" w:w="140"/>
            </w:tcMar>
          </w:tcPr>
          <w:p>
            <w:pPr>
              <w:spacing w:after="120"/>
              <w:jc w:val="left"/>
            </w:pPr>
            <w:r>
              <w:rPr>
                <w:rFonts w:ascii="Arial" w:cs="Arial" w:eastAsia="Arial" w:hAnsi="Arial"/>
                <w:b/>
                <w:bCs/>
                <w:color w:val="854F0B"/>
                <w:sz w:val="18"/>
                <w:szCs w:val="18"/>
              </w:rPr>
              <w:t xml:space="preserve">💡  THE SIMPLE FIX:  </w:t>
            </w:r>
            <w:r>
              <w:rPr>
                <w:rFonts w:ascii="Arial" w:cs="Arial" w:eastAsia="Arial" w:hAnsi="Arial"/>
                <w:color w:val="412402"/>
                <w:sz w:val="18"/>
                <w:szCs w:val="18"/>
              </w:rPr>
              <w:t xml:space="preserve">No endorsement instruction without written clearance confirmation. No exceptions. Not even if the buyer is trusted. Not even if it is a small order. Every single time.</w:t>
            </w:r>
          </w:p>
        </w:tc>
      </w:tr>
      <w:tr>
        <w:tc>
          <w:tcPr>
            <w:tcW w:type="dxa" w:w="600"/>
            <w:tcBorders>
              <w:top w:val="single" w:color="3B6D11" w:sz="4" w:space="0"/>
              <w:left w:val="single" w:color="3B6D11" w:sz="16" w:space="0"/>
              <w:bottom w:val="single" w:color="3B6D11" w:sz="16"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16"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9"/>
                <w:szCs w:val="19"/>
              </w:rPr>
              <w:t xml:space="preserve">⛔  CLEARED IN ACCOUNT BEFORE BL ENDORSEMENT. EVERY TIME. NO EXCEPTIONS.</w:t>
            </w:r>
          </w:p>
          <w:p>
            <w:pPr>
              <w:spacing w:after="0"/>
              <w:jc w:val="left"/>
            </w:pPr>
            <w:r>
              <w:rPr>
                <w:rFonts w:ascii="Arial" w:cs="Arial" w:eastAsia="Arial" w:hAnsi="Arial"/>
                <w:i/>
                <w:iCs/>
                <w:color w:val="666666"/>
                <w:sz w:val="16"/>
                <w:szCs w:val="16"/>
              </w:rPr>
              <w:t xml:space="preserve">📖  For full context on this step — see Format A for the quick version.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c>
          <w:tcPr>
            <w:tcW w:type="dxa" w:w="600"/>
            <w:tcBorders>
              <w:top w:val="single" w:color="3B6D11" w:sz="16" w:space="0"/>
              <w:left w:val="single" w:color="3B6D11" w:sz="16" w:space="0"/>
              <w:bottom w:val="single" w:color="3B6D11" w:sz="4" w:space="0"/>
              <w:right w:val="single" w:color="3B6D11" w:sz="4" w:space="0"/>
            </w:tcBorders>
            <w:shd w:fill="3B6D11" w:val="clear"/>
            <w:tcMar>
              <w:top w:type="dxa" w:w="80"/>
              <w:left w:type="dxa" w:w="100"/>
              <w:bottom w:type="dxa" w:w="60"/>
              <w:right w:type="dxa" w:w="80"/>
            </w:tcMar>
          </w:tcPr>
          <w:p>
            <w:pPr>
              <w:spacing w:after="120"/>
              <w:jc w:val="center"/>
            </w:pPr>
            <w:r>
              <w:rPr>
                <w:rFonts w:ascii="Arial" w:cs="Arial" w:eastAsia="Arial" w:hAnsi="Arial"/>
                <w:b/>
                <w:bCs/>
                <w:color w:val="FFFFFF"/>
                <w:sz w:val="24"/>
                <w:szCs w:val="24"/>
              </w:rPr>
              <w:t xml:space="preserve">STEP 7</w:t>
            </w:r>
          </w:p>
        </w:tc>
        <w:tc>
          <w:tcPr>
            <w:tcW w:type="dxa" w:w="9038"/>
            <w:tcBorders>
              <w:top w:val="single" w:color="3B6D11" w:sz="16" w:space="0"/>
              <w:left w:val="single" w:color="3B6D11" w:sz="4" w:space="0"/>
              <w:bottom w:val="single" w:color="3B6D11" w:sz="4" w:space="0"/>
              <w:right w:val="single" w:color="3B6D11" w:sz="16" w:space="0"/>
            </w:tcBorders>
            <w:shd w:fill="EAF3DE" w:val="clear"/>
            <w:tcMar>
              <w:top w:type="dxa" w:w="80"/>
              <w:left w:type="dxa" w:w="160"/>
              <w:bottom w:type="dxa" w:w="60"/>
              <w:right w:type="dxa" w:w="140"/>
            </w:tcMar>
          </w:tcPr>
          <w:p>
            <w:pPr>
              <w:spacing w:after="120"/>
              <w:jc w:val="left"/>
            </w:pPr>
            <w:r>
              <w:rPr>
                <w:rFonts w:ascii="Arial" w:cs="Arial" w:eastAsia="Arial" w:hAnsi="Arial"/>
                <w:b/>
                <w:bCs/>
                <w:color w:val="17233A"/>
                <w:sz w:val="22"/>
                <w:szCs w:val="22"/>
              </w:rPr>
              <w:t xml:space="preserve">Post-Dispute Closure — Written Confirmation Always</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FFF" w:val="clear"/>
            <w:tcMar>
              <w:top w:type="dxa" w:w="80"/>
              <w:left w:type="dxa" w:w="160"/>
              <w:bottom w:type="dxa" w:w="80"/>
              <w:right w:type="dxa" w:w="140"/>
            </w:tcMar>
          </w:tcPr>
          <w:p>
            <w:pPr>
              <w:spacing w:after="120"/>
              <w:jc w:val="left"/>
            </w:pPr>
            <w:r>
              <w:rPr>
                <w:rFonts w:ascii="Arial" w:cs="Arial" w:eastAsia="Arial" w:hAnsi="Arial"/>
                <w:b/>
                <w:bCs/>
                <w:color w:val="3B6D11"/>
                <w:sz w:val="18"/>
                <w:szCs w:val="18"/>
              </w:rPr>
              <w:t xml:space="preserve">Think of it this way:  </w:t>
            </w:r>
            <w:r>
              <w:rPr>
                <w:rFonts w:ascii="Arial" w:cs="Arial" w:eastAsia="Arial" w:hAnsi="Arial"/>
                <w:i/>
                <w:iCs/>
                <w:color w:val="333333"/>
                <w:sz w:val="18"/>
                <w:szCs w:val="18"/>
              </w:rPr>
              <w:t xml:space="preserve">A dispute was resolved three months ago. The buyer verbally agreed to pay. They paid. You moved on. Six months later the same buyer raises the same issue again — claiming it was never properly resolved. You say it was resolved. They say it was not. You have no written record of the resolution. The dispute is reopened.</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8F8F8"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TO DO:  </w:t>
            </w:r>
            <w:r>
              <w:rPr>
                <w:rFonts w:ascii="Arial" w:cs="Arial" w:eastAsia="Arial" w:hAnsi="Arial"/>
                <w:sz w:val="18"/>
                <w:szCs w:val="18"/>
              </w:rPr>
              <w:t xml:space="preserve">Once a dispute is resolved — send a written confirmation email to the buyer: 'This confirms that the dispute regarding [order reference] has been resolved as follows: [brief summary]. Both parties have fulfilled their obligations under the agreed terms. We consider the matter closed.' If the buyer made any public statement during the dispute — require written confirmation of its removal before sending this closure email. File the closure email in the order folder.</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8"/>
                <w:szCs w:val="18"/>
              </w:rPr>
              <w:t xml:space="preserve">❓  WHAT HAPPENS IF YOU SKIP THIS:  </w:t>
            </w:r>
            <w:r>
              <w:rPr>
                <w:rFonts w:ascii="Arial" w:cs="Arial" w:eastAsia="Arial" w:hAnsi="Arial"/>
                <w:color w:val="A32D2D"/>
                <w:sz w:val="18"/>
                <w:szCs w:val="18"/>
              </w:rPr>
              <w:t xml:space="preserve">A verbal resolution is not a resolution. It is a pause. Without written closure, either party can reopen the matter at any time by claiming the resolution was different from what the other party remembers. Written closure creates a clean, unambiguous, dated record that the matter is settled.</w:t>
            </w:r>
          </w:p>
        </w:tc>
      </w:tr>
      <w:tr>
        <w:tc>
          <w:tcPr>
            <w:tcW w:type="dxa" w:w="600"/>
            <w:tcBorders>
              <w:top w:val="single" w:color="3B6D11" w:sz="4" w:space="0"/>
              <w:left w:val="single" w:color="3B6D11" w:sz="16" w:space="0"/>
              <w:bottom w:val="single" w:color="3B6D11" w:sz="4"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4" w:space="0"/>
              <w:right w:val="single" w:color="3B6D11" w:sz="16" w:space="0"/>
            </w:tcBorders>
            <w:shd w:fill="FFF3CD" w:val="clear"/>
            <w:tcMar>
              <w:top w:type="dxa" w:w="80"/>
              <w:left w:type="dxa" w:w="160"/>
              <w:bottom w:type="dxa" w:w="80"/>
              <w:right w:type="dxa" w:w="140"/>
            </w:tcMar>
          </w:tcPr>
          <w:p>
            <w:pPr>
              <w:spacing w:after="120"/>
              <w:jc w:val="left"/>
            </w:pPr>
            <w:r>
              <w:rPr>
                <w:rFonts w:ascii="Arial" w:cs="Arial" w:eastAsia="Arial" w:hAnsi="Arial"/>
                <w:b/>
                <w:bCs/>
                <w:color w:val="854F0B"/>
                <w:sz w:val="18"/>
                <w:szCs w:val="18"/>
              </w:rPr>
              <w:t xml:space="preserve">💡  THE SIMPLE FIX:  </w:t>
            </w:r>
            <w:r>
              <w:rPr>
                <w:rFonts w:ascii="Arial" w:cs="Arial" w:eastAsia="Arial" w:hAnsi="Arial"/>
                <w:color w:val="412402"/>
                <w:sz w:val="18"/>
                <w:szCs w:val="18"/>
              </w:rPr>
              <w:t xml:space="preserve">Send the closure email the same day the dispute is resolved. Keep it factual and brief. File it immediately.</w:t>
            </w:r>
          </w:p>
        </w:tc>
      </w:tr>
      <w:tr>
        <w:tc>
          <w:tcPr>
            <w:tcW w:type="dxa" w:w="600"/>
            <w:tcBorders>
              <w:top w:val="single" w:color="3B6D11" w:sz="4" w:space="0"/>
              <w:left w:val="single" w:color="3B6D11" w:sz="16" w:space="0"/>
              <w:bottom w:val="single" w:color="3B6D11" w:sz="16" w:space="0"/>
              <w:right w:val="single" w:color="3B6D11" w:sz="4" w:space="0"/>
            </w:tcBorders>
            <w:shd w:fill="3B6D11" w:val="clear"/>
          </w:tcPr>
          <w:p>
            <w:pPr>
              <w:spacing w:after="20"/>
            </w:pPr>
          </w:p>
        </w:tc>
        <w:tc>
          <w:tcPr>
            <w:tcW w:type="dxa" w:w="9038"/>
            <w:tcBorders>
              <w:top w:val="single" w:color="3B6D11" w:sz="4" w:space="0"/>
              <w:left w:val="single" w:color="3B6D11" w:sz="4" w:space="0"/>
              <w:bottom w:val="single" w:color="3B6D11" w:sz="16" w:space="0"/>
              <w:right w:val="single" w:color="3B6D11" w:sz="16" w:space="0"/>
            </w:tcBorders>
            <w:shd w:fill="FBEAEA" w:val="clear"/>
            <w:tcMar>
              <w:top w:type="dxa" w:w="80"/>
              <w:left w:type="dxa" w:w="160"/>
              <w:bottom w:type="dxa" w:w="80"/>
              <w:right w:type="dxa" w:w="140"/>
            </w:tcMar>
          </w:tcPr>
          <w:p>
            <w:pPr>
              <w:spacing w:after="120"/>
              <w:jc w:val="left"/>
            </w:pPr>
            <w:r>
              <w:rPr>
                <w:rFonts w:ascii="Arial" w:cs="Arial" w:eastAsia="Arial" w:hAnsi="Arial"/>
                <w:b/>
                <w:bCs/>
                <w:color w:val="A32D2D"/>
                <w:sz w:val="19"/>
                <w:szCs w:val="19"/>
              </w:rPr>
              <w:t xml:space="preserve">⛔  WRITTEN CLOSURE EMAIL. FILED. MATTER CLOSED.</w:t>
            </w:r>
          </w:p>
          <w:p>
            <w:pPr>
              <w:spacing w:after="0"/>
              <w:jc w:val="left"/>
            </w:pPr>
            <w:r>
              <w:rPr>
                <w:rFonts w:ascii="Arial" w:cs="Arial" w:eastAsia="Arial" w:hAnsi="Arial"/>
                <w:i/>
                <w:iCs/>
                <w:color w:val="666666"/>
                <w:sz w:val="16"/>
                <w:szCs w:val="16"/>
              </w:rPr>
              <w:t xml:space="preserve">📖  For full context on this step — see Format A for the quick version.</w:t>
            </w:r>
          </w:p>
        </w:tc>
      </w:tr>
    </w:tbl>
    <w:p>
      <w:pPr>
        <w:spacing w:after="100"/>
      </w:pP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2026-09-17T10:03:06.056Z</dcterms:created>
  <dcterms:modified xsi:type="dcterms:W3CDTF">2026-09-17T10:03:06.056Z</dcterms:modified>
</cp:coreProperties>
</file>

<file path=docProps/custom.xml><?xml version="1.0" encoding="utf-8"?>
<Properties xmlns="http://schemas.openxmlformats.org/officeDocument/2006/custom-properties" xmlns:vt="http://schemas.openxmlformats.org/officeDocument/2006/docPropsVTypes"/>
</file>