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7233A" w:sz="24" w:space="0"/>
              <w:left w:val="single" w:color="17233A" w:sz="24" w:space="0"/>
              <w:bottom w:val="single" w:color="17233A" w:sz="24" w:space="0"/>
              <w:right w:val="single" w:color="17233A" w:sz="24" w:space="0"/>
            </w:tcBorders>
            <w:shd w:fill="17233A" w:val="clear"/>
            <w:tcMar>
              <w:top w:type="dxa" w:w="160"/>
              <w:left w:type="dxa" w:w="240"/>
              <w:bottom w:type="dxa" w:w="140"/>
              <w:right w:type="dxa" w:w="240"/>
            </w:tcMar>
          </w:tcPr>
          <w:p>
            <w:pPr>
              <w:spacing w:after="0"/>
              <w:jc w:val="center"/>
            </w:pPr>
            <w:r>
              <w:rPr>
                <w:rFonts w:ascii="Arial" w:cs="Arial" w:eastAsia="Arial" w:hAnsi="Arial"/>
                <w:b/>
                <w:bCs/>
                <w:color w:val="FFFFFF"/>
                <w:sz w:val="22"/>
                <w:szCs w:val="22"/>
              </w:rPr>
              <w:t xml:space="preserve">NEXACREST INTERNATIONAL PRIVATE LIMITED</w:t>
            </w:r>
          </w:p>
          <w:p>
            <w:pPr>
              <w:spacing w:after="40"/>
            </w:pPr>
          </w:p>
          <w:p>
            <w:pPr>
              <w:spacing w:after="0"/>
              <w:jc w:val="center"/>
            </w:pPr>
            <w:r>
              <w:rPr>
                <w:rFonts w:ascii="Arial" w:cs="Arial" w:eastAsia="Arial" w:hAnsi="Arial"/>
                <w:b/>
                <w:bCs/>
                <w:color w:val="FFFFFF"/>
                <w:sz w:val="28"/>
                <w:szCs w:val="28"/>
              </w:rPr>
              <w:t>SOP 03 — PACKING &amp; DISPATCH</w:t>
            </w:r>
          </w:p>
          <w:p>
            <w:pPr>
              <w:spacing w:after="40"/>
            </w:pPr>
          </w:p>
          <w:p>
            <w:pPr>
              <w:spacing w:after="0"/>
              <w:jc w:val="center"/>
            </w:pPr>
            <w:r>
              <w:rPr>
                <w:rFonts w:ascii="Arial" w:cs="Arial" w:eastAsia="Arial" w:hAnsi="Arial"/>
                <w:b/>
                <w:bCs/>
                <w:color w:val="AAAACC"/>
                <w:sz w:val="18"/>
                <w:szCs w:val="18"/>
              </w:rPr>
              <w:t xml:space="preserve">From Production Complete to Cargo Ready for Pickup</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c>
          <w:tcPr>
            <w:tcW w:type="dxa" w:w="2698"/>
            <w:tcBorders>
              <w:top w:val="single" w:color="BA7517" w:sz="12" w:space="0"/>
              <w:left w:val="single" w:color="BA7517" w:sz="12" w:space="0"/>
              <w:bottom w:val="single" w:color="BA7517" w:sz="12" w:space="0"/>
              <w:right w:val="single" w:color="BA7517" w:sz="12" w:space="0"/>
            </w:tcBorders>
            <w:shd w:fill="BA7517" w:val="clear"/>
            <w:tcMar>
              <w:top w:type="dxa" w:w="80"/>
              <w:left w:type="dxa" w:w="140"/>
              <w:bottom w:type="dxa" w:w="80"/>
              <w:right w:type="dxa" w:w="100"/>
            </w:tcMar>
          </w:tcPr>
          <w:p>
            <w:pPr>
              <w:spacing w:after="0"/>
              <w:jc w:val="left"/>
            </w:pPr>
            <w:r>
              <w:rPr>
                <w:rFonts w:ascii="Arial" w:cs="Arial" w:eastAsia="Arial" w:hAnsi="Arial"/>
                <w:b/>
                <w:bCs/>
                <w:color w:val="FFFFFF"/>
                <w:sz w:val="18"/>
                <w:szCs w:val="18"/>
              </w:rPr>
              <w:t xml:space="preserve">FOR</w:t>
            </w:r>
          </w:p>
        </w:tc>
        <w:tc>
          <w:tcPr>
            <w:tcW w:type="dxa" w:w="6940"/>
            <w:tcBorders>
              <w:top w:val="single" w:color="BA7517" w:sz="8" w:space="0"/>
              <w:left w:val="single" w:color="BA7517" w:sz="8" w:space="0"/>
              <w:bottom w:val="single" w:color="BA7517" w:sz="8" w:space="0"/>
              <w:right w:val="single" w:color="BA7517" w:sz="8" w:space="0"/>
            </w:tcBorders>
            <w:shd w:fill="FFF3CD" w:val="clear"/>
            <w:tcMar>
              <w:top w:type="dxa" w:w="80"/>
              <w:left w:type="dxa" w:w="140"/>
              <w:bottom w:type="dxa" w:w="80"/>
              <w:right w:type="dxa" w:w="140"/>
            </w:tcMar>
          </w:tcPr>
          <w:p>
            <w:pPr>
              <w:spacing w:after="0"/>
              <w:jc w:val="left"/>
            </w:pPr>
            <w:r>
              <w:rPr>
                <w:rFonts w:ascii="Arial" w:cs="Arial" w:eastAsia="Arial" w:hAnsi="Arial"/>
                <w:b/>
                <w:bCs/>
                <w:color w:val="BA7517"/>
                <w:sz w:val="18"/>
                <w:szCs w:val="18"/>
              </w:rPr>
              <w:t xml:space="preserve">Packing Supervisor / Factory Supervisor</w:t>
            </w:r>
          </w:p>
        </w:tc>
      </w:tr>
      <w:tr>
        <w:tc>
          <w:tcPr>
            <w:tcW w:type="dxa" w:w="2698"/>
            <w:tcBorders>
              <w:top w:val="single" w:color="BA7517" w:sz="8" w:space="0"/>
              <w:left w:val="single" w:color="BA7517" w:sz="8" w:space="0"/>
              <w:bottom w:val="single" w:color="BA7517" w:sz="8" w:space="0"/>
              <w:right w:val="single" w:color="BA7517" w:sz="8" w:space="0"/>
            </w:tcBorders>
            <w:shd w:fill="F1F5F9" w:val="clear"/>
            <w:tcMar>
              <w:top w:type="dxa" w:w="80"/>
              <w:left w:type="dxa" w:w="140"/>
              <w:bottom w:type="dxa" w:w="80"/>
              <w:right w:type="dxa" w:w="100"/>
            </w:tcMar>
          </w:tcPr>
          <w:p>
            <w:pPr>
              <w:spacing w:after="0"/>
              <w:jc w:val="left"/>
            </w:pPr>
            <w:r>
              <w:rPr>
                <w:rFonts w:ascii="Arial" w:cs="Arial" w:eastAsia="Arial" w:hAnsi="Arial"/>
                <w:b/>
                <w:bCs/>
                <w:color w:val="17233A"/>
                <w:sz w:val="16"/>
                <w:szCs w:val="16"/>
              </w:rPr>
              <w:t xml:space="preserve">TOOLS &amp; DOCS</w:t>
            </w:r>
          </w:p>
        </w:tc>
        <w:tc>
          <w:tcPr>
            <w:tcW w:type="dxa" w:w="6940"/>
            <w:tcBorders>
              <w:top w:val="single" w:color="BA7517" w:sz="8" w:space="0"/>
              <w:left w:val="single" w:color="BA7517" w:sz="8" w:space="0"/>
              <w:bottom w:val="single" w:color="BA7517" w:sz="8" w:space="0"/>
              <w:right w:val="single" w:color="BA7517" w:sz="8" w:space="0"/>
            </w:tcBorders>
            <w:shd w:fill="FFFFFF" w:val="clear"/>
            <w:tcMar>
              <w:top w:type="dxa" w:w="80"/>
              <w:left w:type="dxa" w:w="140"/>
              <w:bottom w:type="dxa" w:w="80"/>
              <w:right w:type="dxa" w:w="140"/>
            </w:tcMar>
          </w:tcPr>
          <w:p>
            <w:pPr>
              <w:spacing w:after="0"/>
              <w:jc w:val="left"/>
            </w:pPr>
            <w:r>
              <w:rPr>
                <w:rFonts w:ascii="Arial" w:cs="Arial" w:eastAsia="Arial" w:hAnsi="Arial"/>
                <w:color w:val="333333"/>
                <w:sz w:val="16"/>
                <w:szCs w:val="16"/>
              </w:rPr>
              <w:t xml:space="preserve">Proforma Invoice (02) · Packing List (04) · Order Data Sheet (Tab 1 Section 7)</w:t>
            </w:r>
          </w:p>
        </w:tc>
      </w:tr>
      <w:tr>
        <w:tc>
          <w:tcPr>
            <w:tcW w:type="dxa" w:w="2698"/>
            <w:tcBorders>
              <w:top w:val="single" w:color="BA7517" w:sz="8" w:space="0"/>
              <w:left w:val="single" w:color="BA7517" w:sz="8" w:space="0"/>
              <w:bottom w:val="single" w:color="BA7517" w:sz="8" w:space="0"/>
              <w:right w:val="single" w:color="BA7517" w:sz="8" w:space="0"/>
            </w:tcBorders>
            <w:shd w:fill="F1F5F9" w:val="clear"/>
            <w:tcMar>
              <w:top w:type="dxa" w:w="80"/>
              <w:left w:type="dxa" w:w="140"/>
              <w:bottom w:type="dxa" w:w="80"/>
              <w:right w:type="dxa" w:w="100"/>
            </w:tcMar>
          </w:tcPr>
          <w:p>
            <w:pPr>
              <w:spacing w:after="0"/>
              <w:jc w:val="left"/>
            </w:pPr>
            <w:r>
              <w:rPr>
                <w:rFonts w:ascii="Arial" w:cs="Arial" w:eastAsia="Arial" w:hAnsi="Arial"/>
                <w:b/>
                <w:bCs/>
                <w:color w:val="17233A"/>
                <w:sz w:val="16"/>
                <w:szCs w:val="16"/>
              </w:rPr>
              <w:t xml:space="preserve">CHECKLIST</w:t>
            </w:r>
          </w:p>
        </w:tc>
        <w:tc>
          <w:tcPr>
            <w:tcW w:type="dxa" w:w="6940"/>
            <w:tcBorders>
              <w:top w:val="single" w:color="BA7517" w:sz="8" w:space="0"/>
              <w:left w:val="single" w:color="BA7517" w:sz="8" w:space="0"/>
              <w:bottom w:val="single" w:color="BA7517" w:sz="8" w:space="0"/>
              <w:right w:val="single" w:color="BA7517" w:sz="8" w:space="0"/>
            </w:tcBorders>
            <w:shd w:fill="FFFFFF" w:val="clear"/>
            <w:tcMar>
              <w:top w:type="dxa" w:w="80"/>
              <w:left w:type="dxa" w:w="140"/>
              <w:bottom w:type="dxa" w:w="80"/>
              <w:right w:type="dxa" w:w="140"/>
            </w:tcMar>
          </w:tcPr>
          <w:p>
            <w:pPr>
              <w:spacing w:after="0"/>
              <w:jc w:val="left"/>
            </w:pPr>
            <w:r>
              <w:rPr>
                <w:rFonts w:ascii="Arial" w:cs="Arial" w:eastAsia="Arial" w:hAnsi="Arial"/>
                <w:color w:val="333333"/>
                <w:sz w:val="16"/>
                <w:szCs w:val="16"/>
              </w:rPr>
              <w:t xml:space="preserve">Cross-Verification Checklist 3</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A7517" w:sz="8" w:space="0"/>
              <w:left w:val="single" w:color="BA7517" w:sz="8" w:space="0"/>
              <w:bottom w:val="single" w:color="BA7517" w:sz="8" w:space="0"/>
              <w:right w:val="single" w:color="BA7517" w:sz="8" w:space="0"/>
            </w:tcBorders>
            <w:shd w:fill="BA7517"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PURPOSE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A7517" w:sz="8" w:space="0"/>
              <w:left w:val="single" w:color="BA7517" w:sz="8" w:space="0"/>
              <w:bottom w:val="single" w:color="BA7517" w:sz="8" w:space="0"/>
              <w:right w:val="single" w:color="BA7517" w:sz="8" w:space="0"/>
            </w:tcBorders>
            <w:shd w:fill="FFF3CD" w:val="clear"/>
            <w:tcMar>
              <w:top w:type="dxa" w:w="100"/>
              <w:left w:type="dxa" w:w="180"/>
              <w:bottom w:type="dxa" w:w="100"/>
              <w:right w:type="dxa" w:w="180"/>
            </w:tcMar>
          </w:tcPr>
          <w:p>
            <w:pPr>
              <w:spacing w:after="0"/>
              <w:jc w:val="left"/>
            </w:pPr>
            <w:r>
              <w:rPr>
                <w:rFonts w:ascii="Arial" w:cs="Arial" w:eastAsia="Arial" w:hAnsi="Arial"/>
                <w:sz w:val="18"/>
                <w:szCs w:val="18"/>
              </w:rPr>
              <w:t xml:space="preserve">This SOP covers everything from when production is complete to when cargo is sealed, marked, weighed, and ready for pickup by the shipping line's truck. The Packing Supervisor is responsible for accuracy of quantity, crate markings, weights, and CBM — these figures go directly onto the Packing List and Bill of Lading.</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A7517" w:sz="8" w:space="0"/>
              <w:left w:val="single" w:color="BA7517" w:sz="8" w:space="0"/>
              <w:bottom w:val="single" w:color="BA7517" w:sz="8" w:space="0"/>
              <w:right w:val="single" w:color="BA7517" w:sz="8" w:space="0"/>
            </w:tcBorders>
            <w:shd w:fill="BA7517"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STEP-BY-STEP PROCESS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BA7517" w:sz="16" w:space="0"/>
              <w:left w:val="single" w:color="BA7517" w:sz="16" w:space="0"/>
              <w:bottom w:val="single" w:color="BA7517" w:sz="4" w:space="0"/>
              <w:right w:val="single" w:color="BA7517" w:sz="4" w:space="0"/>
            </w:tcBorders>
            <w:shd w:fill="BA7517"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1</w:t>
            </w:r>
          </w:p>
        </w:tc>
        <w:tc>
          <w:tcPr>
            <w:tcW w:type="dxa" w:w="9038"/>
            <w:tcBorders>
              <w:top w:val="single" w:color="BA7517" w:sz="16" w:space="0"/>
              <w:left w:val="single" w:color="BA7517" w:sz="4" w:space="0"/>
              <w:bottom w:val="single" w:color="BA7517" w:sz="4" w:space="0"/>
              <w:right w:val="single" w:color="BA7517" w:sz="16" w:space="0"/>
            </w:tcBorders>
            <w:shd w:fill="FFF3CD"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Review PI Before Packing Starts</w:t>
            </w:r>
          </w:p>
        </w:tc>
      </w:tr>
      <w:tr>
        <w:tc>
          <w:tcPr>
            <w:tcW w:type="dxa" w:w="600"/>
            <w:tcBorders>
              <w:top w:val="single" w:color="BA7517" w:sz="4" w:space="0"/>
              <w:left w:val="single" w:color="BA7517" w:sz="16" w:space="0"/>
              <w:bottom w:val="single" w:color="BA7517" w:sz="16" w:space="0"/>
              <w:right w:val="single" w:color="BA7517" w:sz="4" w:space="0"/>
            </w:tcBorders>
            <w:shd w:fill="BA7517" w:val="clear"/>
          </w:tcPr>
          <w:p>
            <w:pPr>
              <w:spacing w:after="20"/>
            </w:pPr>
          </w:p>
        </w:tc>
        <w:tc>
          <w:tcPr>
            <w:tcW w:type="dxa" w:w="9038"/>
            <w:tcBorders>
              <w:top w:val="single" w:color="BA7517" w:sz="4" w:space="0"/>
              <w:left w:val="single" w:color="BA7517" w:sz="4" w:space="0"/>
              <w:bottom w:val="single" w:color="BA7517" w:sz="16" w:space="0"/>
              <w:right w:val="single" w:color="BA7517"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BA7517"/>
                <w:sz w:val="17"/>
                <w:szCs w:val="17"/>
              </w:rPr>
              <w:t xml:space="preserve">WHAT: </w:t>
            </w:r>
            <w:r>
              <w:rPr>
                <w:rFonts w:ascii="Arial" w:cs="Arial" w:eastAsia="Arial" w:hAnsi="Arial"/>
                <w:sz w:val="17"/>
                <w:szCs w:val="17"/>
              </w:rPr>
              <w:t xml:space="preserve">Obtain a copy of the Proforma Invoice for this order. Read: product description, material type, surface finish, dimensions, HS Code, quantity, unit. Compare against the produced goods physically. If any item does not match — STOP and notify Sales before packing begins.</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Packing goods that do not match the PI specification means the customer receives wrong items. Customs will also reject mismatched documents.</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Document: 02 Proforma Invoice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BA7517" w:sz="16" w:space="0"/>
              <w:left w:val="single" w:color="BA7517" w:sz="16" w:space="0"/>
              <w:bottom w:val="single" w:color="BA7517" w:sz="4" w:space="0"/>
              <w:right w:val="single" w:color="BA7517" w:sz="4" w:space="0"/>
            </w:tcBorders>
            <w:shd w:fill="BA7517"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2</w:t>
            </w:r>
          </w:p>
        </w:tc>
        <w:tc>
          <w:tcPr>
            <w:tcW w:type="dxa" w:w="9038"/>
            <w:tcBorders>
              <w:top w:val="single" w:color="BA7517" w:sz="16" w:space="0"/>
              <w:left w:val="single" w:color="BA7517" w:sz="4" w:space="0"/>
              <w:bottom w:val="single" w:color="BA7517" w:sz="4" w:space="0"/>
              <w:right w:val="single" w:color="BA7517" w:sz="16" w:space="0"/>
            </w:tcBorders>
            <w:shd w:fill="FFF3CD"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Arrange Fumigation</w:t>
            </w:r>
          </w:p>
        </w:tc>
      </w:tr>
      <w:tr>
        <w:tc>
          <w:tcPr>
            <w:tcW w:type="dxa" w:w="600"/>
            <w:tcBorders>
              <w:top w:val="single" w:color="BA7517" w:sz="4" w:space="0"/>
              <w:left w:val="single" w:color="BA7517" w:sz="16" w:space="0"/>
              <w:bottom w:val="single" w:color="BA7517" w:sz="16" w:space="0"/>
              <w:right w:val="single" w:color="BA7517" w:sz="4" w:space="0"/>
            </w:tcBorders>
            <w:shd w:fill="BA7517" w:val="clear"/>
          </w:tcPr>
          <w:p>
            <w:pPr>
              <w:spacing w:after="20"/>
            </w:pPr>
          </w:p>
        </w:tc>
        <w:tc>
          <w:tcPr>
            <w:tcW w:type="dxa" w:w="9038"/>
            <w:tcBorders>
              <w:top w:val="single" w:color="BA7517" w:sz="4" w:space="0"/>
              <w:left w:val="single" w:color="BA7517" w:sz="4" w:space="0"/>
              <w:bottom w:val="single" w:color="BA7517" w:sz="16" w:space="0"/>
              <w:right w:val="single" w:color="BA7517"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BA7517"/>
                <w:sz w:val="17"/>
                <w:szCs w:val="17"/>
              </w:rPr>
              <w:t xml:space="preserve">WHAT: </w:t>
            </w:r>
            <w:r>
              <w:rPr>
                <w:rFonts w:ascii="Arial" w:cs="Arial" w:eastAsia="Arial" w:hAnsi="Arial"/>
                <w:sz w:val="17"/>
                <w:szCs w:val="17"/>
              </w:rPr>
              <w:t xml:space="preserve">Before any wooden crate is made or used — confirm fumigation is arranged. Fumigation must be done on the wooden packaging material (not the granite). The fumigation company provides a certificate after treatment. This certificate is mandatory for every NexaCrest shipment — it is required by the destination country's customs.</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Without a Fumigation Certificate, the buyer cannot clear customs at the destination. The certificate must accompany every shipment.</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Collect: Fumigation Certificate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BA7517" w:sz="16" w:space="0"/>
              <w:left w:val="single" w:color="BA7517" w:sz="16" w:space="0"/>
              <w:bottom w:val="single" w:color="BA7517" w:sz="4" w:space="0"/>
              <w:right w:val="single" w:color="BA7517" w:sz="4" w:space="0"/>
            </w:tcBorders>
            <w:shd w:fill="BA7517"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3</w:t>
            </w:r>
          </w:p>
        </w:tc>
        <w:tc>
          <w:tcPr>
            <w:tcW w:type="dxa" w:w="9038"/>
            <w:tcBorders>
              <w:top w:val="single" w:color="BA7517" w:sz="16" w:space="0"/>
              <w:left w:val="single" w:color="BA7517" w:sz="4" w:space="0"/>
              <w:bottom w:val="single" w:color="BA7517" w:sz="4" w:space="0"/>
              <w:right w:val="single" w:color="BA7517" w:sz="16" w:space="0"/>
            </w:tcBorders>
            <w:shd w:fill="FFF3CD"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Pack Against PI Quantity — Hard Rule</w:t>
            </w:r>
          </w:p>
        </w:tc>
      </w:tr>
      <w:tr>
        <w:tc>
          <w:tcPr>
            <w:tcW w:type="dxa" w:w="600"/>
            <w:tcBorders>
              <w:top w:val="single" w:color="BA7517" w:sz="4" w:space="0"/>
              <w:left w:val="single" w:color="BA7517" w:sz="16" w:space="0"/>
              <w:bottom w:val="single" w:color="BA7517" w:sz="16" w:space="0"/>
              <w:right w:val="single" w:color="BA7517" w:sz="4" w:space="0"/>
            </w:tcBorders>
            <w:shd w:fill="BA7517" w:val="clear"/>
          </w:tcPr>
          <w:p>
            <w:pPr>
              <w:spacing w:after="20"/>
            </w:pPr>
          </w:p>
        </w:tc>
        <w:tc>
          <w:tcPr>
            <w:tcW w:type="dxa" w:w="9038"/>
            <w:tcBorders>
              <w:top w:val="single" w:color="BA7517" w:sz="4" w:space="0"/>
              <w:left w:val="single" w:color="BA7517" w:sz="4" w:space="0"/>
              <w:bottom w:val="single" w:color="BA7517" w:sz="16" w:space="0"/>
              <w:right w:val="single" w:color="BA7517"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BA7517"/>
                <w:sz w:val="17"/>
                <w:szCs w:val="17"/>
              </w:rPr>
              <w:t xml:space="preserve">WHAT: </w:t>
            </w:r>
            <w:r>
              <w:rPr>
                <w:rFonts w:ascii="Arial" w:cs="Arial" w:eastAsia="Arial" w:hAnsi="Arial"/>
                <w:sz w:val="17"/>
                <w:szCs w:val="17"/>
              </w:rPr>
              <w:t xml:space="preserve">HARD RULE: Actual quantity packed must NEVER exceed PI quantity. Count as you pack. When PI quantity is reached — stop. If production yielded more — set the excess aside, do not pack it. If production yielded less than PI quantity — check the shortfall percentage: ≤5%: acceptable — note actual quantity packed and notify Sales immediately so buyer can be informed in writing before shipment. &gt;5%: STOP — notify Sales immediately. Buyer written approval required before proceeding.</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Shipping more than the PI quantity is not permitted under Indian export regulations. Shipping significantly less without buyer approval is a contractual breach.</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Check: CL3 Section B</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12" w:space="0"/>
              <w:left w:val="single" w:color="A32D2D" w:sz="24" w:space="0"/>
              <w:bottom w:val="single" w:color="A32D2D" w:sz="12" w:space="0"/>
              <w:right w:val="single" w:color="A32D2D" w:sz="12" w:space="0"/>
            </w:tcBorders>
            <w:shd w:fill="FBEAEA" w:val="clear"/>
            <w:tcMar>
              <w:top w:type="dxa" w:w="100"/>
              <w:left w:type="dxa" w:w="180"/>
              <w:bottom w:type="dxa" w:w="100"/>
              <w:right w:type="dxa" w:w="180"/>
            </w:tcMar>
          </w:tcPr>
          <w:p>
            <w:pPr>
              <w:spacing w:after="0"/>
              <w:jc w:val="left"/>
            </w:pPr>
            <w:r>
              <w:rPr>
                <w:rFonts w:ascii="Arial" w:cs="Arial" w:eastAsia="Arial" w:hAnsi="Arial"/>
                <w:b/>
                <w:bCs/>
                <w:color w:val="A32D2D"/>
                <w:sz w:val="19"/>
                <w:szCs w:val="19"/>
              </w:rPr>
              <w:t xml:space="preserve">⛔  GATE: </w:t>
            </w:r>
            <w:r>
              <w:rPr>
                <w:rFonts w:ascii="Arial" w:cs="Arial" w:eastAsia="Arial" w:hAnsi="Arial"/>
                <w:b/>
                <w:bCs/>
                <w:color w:val="A32D2D"/>
                <w:sz w:val="18"/>
                <w:szCs w:val="18"/>
              </w:rPr>
              <w:t xml:space="preserve">Quantity packed must NEVER exceed PI quantity. If &gt;5% short — STOP and notify Sales before continuing.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BA7517" w:sz="16" w:space="0"/>
              <w:left w:val="single" w:color="BA7517" w:sz="16" w:space="0"/>
              <w:bottom w:val="single" w:color="BA7517" w:sz="4" w:space="0"/>
              <w:right w:val="single" w:color="BA7517" w:sz="4" w:space="0"/>
            </w:tcBorders>
            <w:shd w:fill="BA7517"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4</w:t>
            </w:r>
          </w:p>
        </w:tc>
        <w:tc>
          <w:tcPr>
            <w:tcW w:type="dxa" w:w="9038"/>
            <w:tcBorders>
              <w:top w:val="single" w:color="BA7517" w:sz="16" w:space="0"/>
              <w:left w:val="single" w:color="BA7517" w:sz="4" w:space="0"/>
              <w:bottom w:val="single" w:color="BA7517" w:sz="4" w:space="0"/>
              <w:right w:val="single" w:color="BA7517" w:sz="16" w:space="0"/>
            </w:tcBorders>
            <w:shd w:fill="FFF3CD"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Pack Each Crate — Record Details</w:t>
            </w:r>
          </w:p>
        </w:tc>
      </w:tr>
      <w:tr>
        <w:tc>
          <w:tcPr>
            <w:tcW w:type="dxa" w:w="600"/>
            <w:tcBorders>
              <w:top w:val="single" w:color="BA7517" w:sz="4" w:space="0"/>
              <w:left w:val="single" w:color="BA7517" w:sz="16" w:space="0"/>
              <w:bottom w:val="single" w:color="BA7517" w:sz="16" w:space="0"/>
              <w:right w:val="single" w:color="BA7517" w:sz="4" w:space="0"/>
            </w:tcBorders>
            <w:shd w:fill="BA7517" w:val="clear"/>
          </w:tcPr>
          <w:p>
            <w:pPr>
              <w:spacing w:after="20"/>
            </w:pPr>
          </w:p>
        </w:tc>
        <w:tc>
          <w:tcPr>
            <w:tcW w:type="dxa" w:w="9038"/>
            <w:tcBorders>
              <w:top w:val="single" w:color="BA7517" w:sz="4" w:space="0"/>
              <w:left w:val="single" w:color="BA7517" w:sz="4" w:space="0"/>
              <w:bottom w:val="single" w:color="BA7517" w:sz="16" w:space="0"/>
              <w:right w:val="single" w:color="BA7517"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BA7517"/>
                <w:sz w:val="17"/>
                <w:szCs w:val="17"/>
              </w:rPr>
              <w:t xml:space="preserve">WHAT: </w:t>
            </w:r>
            <w:r>
              <w:rPr>
                <w:rFonts w:ascii="Arial" w:cs="Arial" w:eastAsia="Arial" w:hAnsi="Arial"/>
                <w:sz w:val="17"/>
                <w:szCs w:val="17"/>
              </w:rPr>
              <w:t xml:space="preserve">For each crate packed: record contents (product, quantity, dimensions). Measure crate: L × W × H in cm. Weigh crate net (stone only). Weigh crate gross (stone + packaging). Calculate CBM: L × W × H ÷ 1,000,000. Record all in a packing register — these figures go onto the Packing List.</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The Packing List, Commercial Invoice, and Bill of Lading must show the same weights and CBM. If you measure wrong here, all three documents are wrong.</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Fill: Packing Register (hand over to Documentation Officer)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BA7517" w:sz="16" w:space="0"/>
              <w:left w:val="single" w:color="BA7517" w:sz="16" w:space="0"/>
              <w:bottom w:val="single" w:color="BA7517" w:sz="4" w:space="0"/>
              <w:right w:val="single" w:color="BA7517" w:sz="4" w:space="0"/>
            </w:tcBorders>
            <w:shd w:fill="BA7517"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5</w:t>
            </w:r>
          </w:p>
        </w:tc>
        <w:tc>
          <w:tcPr>
            <w:tcW w:type="dxa" w:w="9038"/>
            <w:tcBorders>
              <w:top w:val="single" w:color="BA7517" w:sz="16" w:space="0"/>
              <w:left w:val="single" w:color="BA7517" w:sz="4" w:space="0"/>
              <w:bottom w:val="single" w:color="BA7517" w:sz="4" w:space="0"/>
              <w:right w:val="single" w:color="BA7517" w:sz="16" w:space="0"/>
            </w:tcBorders>
            <w:shd w:fill="FFF3CD"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Mark Every Crate</w:t>
            </w:r>
          </w:p>
        </w:tc>
      </w:tr>
      <w:tr>
        <w:tc>
          <w:tcPr>
            <w:tcW w:type="dxa" w:w="600"/>
            <w:tcBorders>
              <w:top w:val="single" w:color="BA7517" w:sz="4" w:space="0"/>
              <w:left w:val="single" w:color="BA7517" w:sz="16" w:space="0"/>
              <w:bottom w:val="single" w:color="BA7517" w:sz="16" w:space="0"/>
              <w:right w:val="single" w:color="BA7517" w:sz="4" w:space="0"/>
            </w:tcBorders>
            <w:shd w:fill="BA7517" w:val="clear"/>
          </w:tcPr>
          <w:p>
            <w:pPr>
              <w:spacing w:after="20"/>
            </w:pPr>
          </w:p>
        </w:tc>
        <w:tc>
          <w:tcPr>
            <w:tcW w:type="dxa" w:w="9038"/>
            <w:tcBorders>
              <w:top w:val="single" w:color="BA7517" w:sz="4" w:space="0"/>
              <w:left w:val="single" w:color="BA7517" w:sz="4" w:space="0"/>
              <w:bottom w:val="single" w:color="BA7517" w:sz="16" w:space="0"/>
              <w:right w:val="single" w:color="BA7517"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BA7517"/>
                <w:sz w:val="17"/>
                <w:szCs w:val="17"/>
              </w:rPr>
              <w:t xml:space="preserve">WHAT: </w:t>
            </w:r>
            <w:r>
              <w:rPr>
                <w:rFonts w:ascii="Arial" w:cs="Arial" w:eastAsia="Arial" w:hAnsi="Arial"/>
                <w:sz w:val="17"/>
                <w:szCs w:val="17"/>
              </w:rPr>
              <w:t xml:space="preserve">Stencil each crate with shipping marks in this EXACT format:
Line 1: NEXACREST
Line 2: [BUYER NAME — exact as on PI]
Line 3: [PORT OF DISCHARGE — e.g., TILBURY UK]
Line 4: C-NNN/TOTAL (e.g., C-001/010 for crate 1 of 10)
Line 5: [PI NUMBER — e.g., SC/PI/2026/0409001]
Line 6: MADE IN INDIA
Verify buyer name matches PI character-for-character. Verify port matches PI.</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Crate marks are used by the shipping line, destination customs, and the buyer's warehouse to identify cargo. Wrong marks mean cargo cannot be identified or delivered.</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Check: CL3 Section C</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BA7517" w:sz="16" w:space="0"/>
              <w:left w:val="single" w:color="BA7517" w:sz="16" w:space="0"/>
              <w:bottom w:val="single" w:color="BA7517" w:sz="4" w:space="0"/>
              <w:right w:val="single" w:color="BA7517" w:sz="4" w:space="0"/>
            </w:tcBorders>
            <w:shd w:fill="BA7517"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6</w:t>
            </w:r>
          </w:p>
        </w:tc>
        <w:tc>
          <w:tcPr>
            <w:tcW w:type="dxa" w:w="9038"/>
            <w:tcBorders>
              <w:top w:val="single" w:color="BA7517" w:sz="16" w:space="0"/>
              <w:left w:val="single" w:color="BA7517" w:sz="4" w:space="0"/>
              <w:bottom w:val="single" w:color="BA7517" w:sz="4" w:space="0"/>
              <w:right w:val="single" w:color="BA7517" w:sz="16" w:space="0"/>
            </w:tcBorders>
            <w:shd w:fill="FFF3CD"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Record Totals and Hand Over</w:t>
            </w:r>
          </w:p>
        </w:tc>
      </w:tr>
      <w:tr>
        <w:tc>
          <w:tcPr>
            <w:tcW w:type="dxa" w:w="600"/>
            <w:tcBorders>
              <w:top w:val="single" w:color="BA7517" w:sz="4" w:space="0"/>
              <w:left w:val="single" w:color="BA7517" w:sz="16" w:space="0"/>
              <w:bottom w:val="single" w:color="BA7517" w:sz="16" w:space="0"/>
              <w:right w:val="single" w:color="BA7517" w:sz="4" w:space="0"/>
            </w:tcBorders>
            <w:shd w:fill="BA7517" w:val="clear"/>
          </w:tcPr>
          <w:p>
            <w:pPr>
              <w:spacing w:after="20"/>
            </w:pPr>
          </w:p>
        </w:tc>
        <w:tc>
          <w:tcPr>
            <w:tcW w:type="dxa" w:w="9038"/>
            <w:tcBorders>
              <w:top w:val="single" w:color="BA7517" w:sz="4" w:space="0"/>
              <w:left w:val="single" w:color="BA7517" w:sz="4" w:space="0"/>
              <w:bottom w:val="single" w:color="BA7517" w:sz="16" w:space="0"/>
              <w:right w:val="single" w:color="BA7517"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BA7517"/>
                <w:sz w:val="17"/>
                <w:szCs w:val="17"/>
              </w:rPr>
              <w:t xml:space="preserve">WHAT: </w:t>
            </w:r>
            <w:r>
              <w:rPr>
                <w:rFonts w:ascii="Arial" w:cs="Arial" w:eastAsia="Arial" w:hAnsi="Arial"/>
                <w:sz w:val="17"/>
                <w:szCs w:val="17"/>
              </w:rPr>
              <w:t xml:space="preserve">After all crates are packed, sealed, and marked — total up: total quantity packed, total number of crates, total net weight (kg), total gross weight (kg), total CBM (m³). Hand this packing register to the Documentation Officer to complete the Packing List. Hand the Fumigation Certificate to the Documentation Officer.</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These totals feed directly into the Packing List, Commercial Invoice, and Bill of Lading. Accuracy here prevents document mismatches.</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Hand to: Documentation Officer | Fill: Order Data Sheet Tab 1, Section 7</w:t>
            </w:r>
          </w:p>
        </w:tc>
      </w:tr>
    </w:tbl>
    <w:p>
      <w:pPr>
        <w:spacing w:after="80"/>
      </w:pP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A7517" w:sz="8" w:space="0"/>
              <w:left w:val="single" w:color="BA7517" w:sz="8" w:space="0"/>
              <w:bottom w:val="single" w:color="BA7517" w:sz="8" w:space="0"/>
              <w:right w:val="single" w:color="BA7517" w:sz="8" w:space="0"/>
            </w:tcBorders>
            <w:shd w:fill="BA7517"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CRATE MARKING — QUICK REFERENCE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A7517" w:sz="8" w:space="0"/>
              <w:left w:val="single" w:color="BA7517" w:sz="8" w:space="0"/>
              <w:bottom w:val="single" w:color="BA7517" w:sz="8" w:space="0"/>
              <w:right w:val="single" w:color="BA7517" w:sz="8" w:space="0"/>
            </w:tcBorders>
            <w:shd w:fill="FFF3CD" w:val="clear"/>
            <w:tcMar>
              <w:top w:type="dxa" w:w="100"/>
              <w:left w:type="dxa" w:w="180"/>
              <w:bottom w:type="dxa" w:w="100"/>
              <w:right w:type="dxa" w:w="180"/>
            </w:tcMar>
          </w:tcPr>
          <w:p>
            <w:pPr>
              <w:spacing w:after="0"/>
              <w:jc w:val="left"/>
            </w:pPr>
            <w:r>
              <w:rPr>
                <w:rFonts w:ascii="Arial" w:cs="Arial" w:eastAsia="Arial" w:hAnsi="Arial"/>
                <w:b/>
                <w:bCs/>
                <w:color w:val="17233A"/>
                <w:sz w:val="18"/>
                <w:szCs w:val="18"/>
              </w:rPr>
              <w:t xml:space="preserve">Line 1:  NEXACREST</w:t>
            </w:r>
          </w:p>
          <w:p>
            <w:pPr>
              <w:spacing w:after="0"/>
              <w:jc w:val="left"/>
            </w:pPr>
            <w:r>
              <w:rPr>
                <w:rFonts w:ascii="Arial" w:cs="Arial" w:eastAsia="Arial" w:hAnsi="Arial"/>
                <w:sz w:val="18"/>
                <w:szCs w:val="18"/>
              </w:rPr>
              <w:t xml:space="preserve">Line 2:  [BUYER LEGAL NAME — exact as PI]</w:t>
            </w:r>
          </w:p>
          <w:p>
            <w:pPr>
              <w:spacing w:after="0"/>
            </w:pPr>
          </w:p>
          <w:p>
            <w:pPr>
              <w:spacing w:after="0"/>
              <w:jc w:val="left"/>
            </w:pPr>
            <w:r>
              <w:rPr>
                <w:rFonts w:ascii="Arial" w:cs="Arial" w:eastAsia="Arial" w:hAnsi="Arial"/>
                <w:sz w:val="18"/>
                <w:szCs w:val="18"/>
              </w:rPr>
              <w:t xml:space="preserve">Line 3:  [PORT OF DISCHARGE — e.g., TILBURY UK]</w:t>
            </w:r>
          </w:p>
          <w:p>
            <w:pPr>
              <w:spacing w:after="0"/>
            </w:pPr>
          </w:p>
          <w:p>
            <w:pPr>
              <w:spacing w:after="0"/>
              <w:jc w:val="left"/>
            </w:pPr>
            <w:r>
              <w:rPr>
                <w:rFonts w:ascii="Arial" w:cs="Arial" w:eastAsia="Arial" w:hAnsi="Arial"/>
                <w:sz w:val="18"/>
                <w:szCs w:val="18"/>
              </w:rPr>
              <w:t xml:space="preserve">Line 4:  C-001/010  (crate number / total crates)</w:t>
            </w:r>
          </w:p>
          <w:p>
            <w:pPr>
              <w:spacing w:after="0"/>
            </w:pPr>
          </w:p>
          <w:p>
            <w:pPr>
              <w:spacing w:after="0"/>
              <w:jc w:val="left"/>
            </w:pPr>
            <w:r>
              <w:rPr>
                <w:rFonts w:ascii="Arial" w:cs="Arial" w:eastAsia="Arial" w:hAnsi="Arial"/>
                <w:sz w:val="18"/>
                <w:szCs w:val="18"/>
              </w:rPr>
              <w:t xml:space="preserve">Line 5:  [PI NUMBER — e.g., SC/PI/2026/0409001]</w:t>
            </w:r>
          </w:p>
          <w:p>
            <w:pPr>
              <w:spacing w:after="0"/>
            </w:pPr>
          </w:p>
          <w:p>
            <w:pPr>
              <w:spacing w:after="0"/>
              <w:jc w:val="left"/>
            </w:pPr>
            <w:r>
              <w:rPr>
                <w:rFonts w:ascii="Arial" w:cs="Arial" w:eastAsia="Arial" w:hAnsi="Arial"/>
                <w:b/>
                <w:bCs/>
                <w:sz w:val="18"/>
                <w:szCs w:val="18"/>
              </w:rPr>
              <w:t xml:space="preserve">Line 6:  MADE IN INDIA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8" w:space="0"/>
              <w:left w:val="single" w:color="A32D2D" w:sz="8" w:space="0"/>
              <w:bottom w:val="single" w:color="A32D2D" w:sz="8" w:space="0"/>
              <w:right w:val="single" w:color="A32D2D" w:sz="8" w:space="0"/>
            </w:tcBorders>
            <w:shd w:fill="A32D2D"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COMMON MISTAKES TO AVOID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Packing more than the PI quantity — strictly prohibited</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Abbreviating buyer name on crates — must match PI character-for-character</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Forgetting fumigation — shipment will be rejected at destination without certificate</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Not recording per-crate weights and CBM — the Documentation Officer cannot complete the Packing List</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Using estimated weights — weigh each crate physically</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Not notifying Sales when shortfall exceeds 5%</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2026-09-17T09:57:15.198Z</dcterms:created>
  <dcterms:modified xsi:type="dcterms:W3CDTF">2026-09-17T09:57:15.198Z</dcterms:modified>
</cp:coreProperties>
</file>

<file path=docProps/custom.xml><?xml version="1.0" encoding="utf-8"?>
<Properties xmlns="http://schemas.openxmlformats.org/officeDocument/2006/custom-properties" xmlns:vt="http://schemas.openxmlformats.org/officeDocument/2006/docPropsVTypes"/>
</file>