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17233A" w:sz="24" w:space="0"/>
              <w:left w:val="single" w:color="17233A" w:sz="24" w:space="0"/>
              <w:bottom w:val="single" w:color="17233A" w:sz="24" w:space="0"/>
              <w:right w:val="single" w:color="17233A" w:sz="24" w:space="0"/>
            </w:tcBorders>
            <w:shd w:fill="17233A" w:val="clear"/>
            <w:tcMar>
              <w:top w:type="dxa" w:w="160"/>
              <w:left w:type="dxa" w:w="240"/>
              <w:bottom w:type="dxa" w:w="140"/>
              <w:right w:type="dxa" w:w="240"/>
            </w:tcMar>
          </w:tcPr>
          <w:p>
            <w:pPr>
              <w:spacing w:after="40"/>
              <w:jc w:val="center"/>
            </w:pPr>
            <w:r>
              <w:rPr>
                <w:rFonts w:ascii="Arial" w:cs="Arial" w:eastAsia="Arial" w:hAnsi="Arial"/>
                <w:b/>
                <w:bCs/>
                <w:color w:val="FFFFFF"/>
                <w:sz w:val="22"/>
                <w:szCs w:val="22"/>
              </w:rPr>
              <w:t xml:space="preserve">NEXACREST INTERNATIONAL PRIVATE LIMITED</w:t>
            </w:r>
          </w:p>
          <w:p>
            <w:pPr>
              <w:spacing w:after="40"/>
              <w:jc w:val="center"/>
            </w:pPr>
            <w:r>
              <w:rPr>
                <w:rFonts w:ascii="Arial" w:cs="Arial" w:eastAsia="Arial" w:hAnsi="Arial"/>
                <w:b/>
                <w:bCs/>
                <w:color w:val="FFFFFF"/>
                <w:sz w:val="28"/>
                <w:szCs w:val="28"/>
              </w:rPr>
              <w:t xml:space="preserve">SOP 03 — PACKING &amp; DISPATCH</w:t>
            </w:r>
          </w:p>
          <w:p>
            <w:pPr>
              <w:spacing w:after="40"/>
              <w:jc w:val="center"/>
            </w:pPr>
            <w:r>
              <w:rPr>
                <w:rFonts w:ascii="Arial" w:cs="Arial" w:eastAsia="Arial" w:hAnsi="Arial"/>
                <w:b/>
                <w:bCs/>
                <w:color w:val="AAAACC"/>
                <w:sz w:val="18"/>
                <w:szCs w:val="18"/>
              </w:rPr>
              <w:t xml:space="preserve">From Production Complete to Cargo Ready — Full Guide</w:t>
            </w:r>
          </w:p>
          <w:p>
            <w:pPr>
              <w:spacing w:after="0"/>
              <w:jc w:val="center"/>
            </w:pPr>
            <w:r>
              <w:rPr>
                <w:rFonts w:ascii="Arial" w:cs="Arial" w:eastAsia="Arial" w:hAnsi="Arial"/>
                <w:b/>
                <w:bCs/>
                <w:color w:val="EF9F27"/>
                <w:sz w:val="16"/>
                <w:szCs w:val="16"/>
              </w:rPr>
              <w:t xml:space="preserve">FORMAT B — FULL GUIDE WITH EXAMPLES &amp; CONSEQUENCES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12" w:space="0"/>
              <w:left w:val="single" w:color="854F0B" w:sz="12" w:space="0"/>
              <w:bottom w:val="single" w:color="854F0B" w:sz="12" w:space="0"/>
              <w:right w:val="single" w:color="854F0B" w:sz="12" w:space="0"/>
            </w:tcBorders>
            <w:shd w:fill="FFF3CD" w:val="clear"/>
            <w:tcMar>
              <w:top w:type="dxa" w:w="100"/>
              <w:left w:type="dxa" w:w="180"/>
              <w:bottom w:type="dxa" w:w="100"/>
              <w:right w:type="dxa" w:w="180"/>
            </w:tcMar>
          </w:tcPr>
          <w:p>
            <w:pPr>
              <w:spacing w:after="120"/>
              <w:jc w:val="left"/>
            </w:pPr>
            <w:r>
              <w:rPr>
                <w:rFonts w:ascii="Arial" w:cs="Arial" w:eastAsia="Arial" w:hAnsi="Arial"/>
                <w:b/>
                <w:bCs/>
                <w:color w:val="854F0B"/>
                <w:sz w:val="19"/>
                <w:szCs w:val="19"/>
              </w:rPr>
              <w:t xml:space="preserve">📖  HOW TO USE THIS DOCUMENT: </w:t>
            </w:r>
            <w:r>
              <w:rPr>
                <w:rFonts w:ascii="Arial" w:cs="Arial" w:eastAsia="Arial" w:hAnsi="Arial"/>
                <w:color w:val="412402"/>
                <w:sz w:val="18"/>
                <w:szCs w:val="18"/>
              </w:rPr>
              <w:t xml:space="preserve">This is Format B — the full explanation guide. Read this once during onboarding to understand WHY each step exists and what happens when it is skipped. For daily work use Format A (Quick Reference). When Format A says </w:t>
            </w:r>
            <w:r>
              <w:rPr>
                <w:rFonts w:ascii="Arial" w:cs="Arial" w:eastAsia="Arial" w:hAnsi="Arial"/>
                <w:b/>
                <w:bCs/>
                <w:color w:val="854F0B"/>
                <w:sz w:val="18"/>
                <w:szCs w:val="18"/>
              </w:rPr>
              <w:t xml:space="preserve">📖 See Format B, Step X</w:t>
            </w:r>
            <w:r>
              <w:rPr>
                <w:rFonts w:ascii="Arial" w:cs="Arial" w:eastAsia="Arial" w:hAnsi="Arial"/>
                <w:color w:val="412402"/>
                <w:sz w:val="18"/>
                <w:szCs w:val="18"/>
              </w:rPr>
              <w:t xml:space="preserve"> — that is your signal to open this document for deeper context on that specific step.</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8" w:space="0"/>
              <w:left w:val="single" w:color="854F0B" w:sz="8" w:space="0"/>
              <w:bottom w:val="single" w:color="854F0B" w:sz="8" w:space="0"/>
              <w:right w:val="single" w:color="854F0B" w:sz="8" w:space="0"/>
            </w:tcBorders>
            <w:shd w:fill="854F0B"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WHY THIS SOP EXISTS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8" w:space="0"/>
              <w:left w:val="single" w:color="854F0B" w:sz="8" w:space="0"/>
              <w:bottom w:val="single" w:color="854F0B" w:sz="8" w:space="0"/>
              <w:right w:val="single" w:color="854F0B" w:sz="8" w:space="0"/>
            </w:tcBorders>
            <w:shd w:fill="FFF3CD" w:val="clear"/>
            <w:tcMar>
              <w:top w:type="dxa" w:w="100"/>
              <w:left w:type="dxa" w:w="180"/>
              <w:bottom w:type="dxa" w:w="100"/>
              <w:right w:type="dxa" w:w="180"/>
            </w:tcMar>
          </w:tcPr>
          <w:p>
            <w:pPr>
              <w:spacing w:after="120"/>
              <w:jc w:val="left"/>
            </w:pPr>
            <w:r>
              <w:rPr>
                <w:rFonts w:ascii="Arial" w:cs="Arial" w:eastAsia="Arial" w:hAnsi="Arial"/>
                <w:sz w:val="18"/>
                <w:szCs w:val="18"/>
              </w:rPr>
              <w:t xml:space="preserve">By the time cargo reaches the packing stage, NexaCrest has already invested in material, production, and time. A packing error does not just cause inconvenience — it creates customs problems, delivery failures, and payment disputes at the exact moment when the buyer is about to pay the balance. Every step in this SOP protects that investment.</w:t>
            </w:r>
          </w:p>
        </w:tc>
      </w:tr>
    </w:tbl>
    <w:p>
      <w:pPr>
        <w:spacing w:after="1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854F0B" w:sz="8" w:space="0"/>
              <w:left w:val="single" w:color="854F0B" w:sz="8" w:space="0"/>
              <w:bottom w:val="single" w:color="854F0B" w:sz="8" w:space="0"/>
              <w:right w:val="single" w:color="854F0B" w:sz="8" w:space="0"/>
            </w:tcBorders>
            <w:shd w:fill="854F0B" w:val="clear"/>
            <w:tcMar>
              <w:top w:type="dxa" w:w="80"/>
              <w:left w:type="dxa" w:w="160"/>
              <w:bottom w:type="dxa" w:w="80"/>
              <w:right w:type="dxa" w:w="160"/>
            </w:tcMar>
          </w:tcPr>
          <w:p>
            <w:pPr>
              <w:spacing w:after="120"/>
              <w:jc w:val="left"/>
            </w:pPr>
            <w:r>
              <w:rPr>
                <w:rFonts w:ascii="Arial" w:cs="Arial" w:eastAsia="Arial" w:hAnsi="Arial"/>
                <w:b/>
                <w:bCs/>
                <w:color w:val="FFFFFF"/>
                <w:sz w:val="19"/>
                <w:szCs w:val="19"/>
              </w:rPr>
              <w:t xml:space="preserve">STEP-BY-STEP PROCESS — WITH FULL EXPLANATION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1</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Review PI Before Packing Starts</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Production is complete. The team is ready to pack. Everyone assumes the goods match the PI because they always have before. But this order had a specification change in the middle — the buyer asked for 3cm instead of 2cm in a message three weeks ago. The change was made verbally to the production team. The PI still says 2cm. The goods are now packed to the wrong specification against the wrong PI.</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Before a single piece is packed — obtain a printed copy of the PI for this order. Read every specification: product description, material, surface finish, dimensions including thickness, HS Code, quantity, unit. Physically compare each specification to the goods in front of you. If anything does not match — stop. Do not pack. Notify Sales immediately.</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Packing goods that do not match the PI creates an immediate mismatch between what the buyer paid for and what they receive. This is grounds for rejection of the cargo, a claim against NexaCrest, and refusal to pay the balance. The buyer is right to refuse — the goods are not what the PI described.</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Keep the PI physically present during the entire packing process. Check each specification as each crate is packed — not just at the start.</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PI IN HAND BEFORE PACKING STARTS. ANY MISMATCH — STOP AND NOTIFY SALES.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2</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Arrange Fumigation — Before Crates Are Made</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The cargo is packed in wooden crates. The shipping is booked. The container is ready. Then the freight agent asks for the fumigation certificate. The fumigation company cannot come until next week. The container booking is missed. The buyer's expected delivery date is now missed. The buyer is angry. The next available vessel is two weeks later. The buyer threatens to cancel.</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Fumigation must be arranged before the wooden crates are constructed — or at minimum before sealing. The fumigation company treats the wooden packaging material. They issue the certificate after treatment. Book the fumigation company as soon as packing is confirmed. Do not leave it until shipping is imminent.</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Without a fumigation certificate the cargo cannot be exported under most international trade regulations. The destination country's customs will reject the shipment. The cargo comes back at NexaCrest's cost. The buyer gets nothing — and they paid a 40% advance for nothing.</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Book fumigation when packing is scheduled — not when shipping is booked. Build it into the packing timeline, not the shipping timeline.</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FUMIGATION BOOKED BEFORE CRATES ARE SEALED. CERTIFICATE IN HAND BEFORE CARGO MOVES.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3</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Pack Against PI Quantity — Never Exceed, Notify if Short</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The production team packed 22 sets instead of the 20 on the PI. Two extra sets. The team thinks — the buyer gets more, everyone wins. But the Commercial Invoice, Packing List, and Shipping Bill are all raised for 20 sets. Customs finds 22 sets in the container. The quantity on the export documents does not match the physical cargo. Customs holds the container for inspection. The shipment is delayed. The buyer's delivery date is missed.</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Count every piece as it is packed. When the PI quantity is reached — stop. If production yielded more — set the excess aside. Never pack more than the PI quantity. If production yielded less: shortfall of 5% or under — note the actual quantity and notify Sales immediately so the buyer can be informed in writing before shipment. Shortfall over 5% — stop packing, notify Sales, wait for buyer's written approval before proceeding.</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Shipping more than the PI quantity is an export documentation violation. Shipping significantly less without buyer approval is a contractual breach. Either scenario creates a legal and commercial problem at exactly the wrong moment — when the cargo is at the port and the balance payment is due.</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Count twice before sealing each crate. Keep a running tally against the PI quantity. Stop at PI quantity — not when the crates are full.</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PI QUANTITY IS THE MAXIMUM. COUNT EVERY PIECE. STOP AT PI QUANTITY.</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4</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Mark Every Crate — Exact Format, No Shortcuts</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A container arrives at the Port of Discharge with 10 crates. Eight crates are marked correctly. Two crates have the buyer's name abbreviated — 'KŐ BT' became 'Ko BT.' The customs agent cross-references the crate marks against the import licence. Two crates do not match. Those two crates are held for verification while the other eight are released. The buyer gets eight crates on time and two crates a week later. Their installation crew is on site. The delayed crates mean the monument set cannot be completed. The buyer claims damages.</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Stencil every crate in this exact format — Line 1: NEXACREST | Line 2: [buyer legal name — exact as PI] | Line 3: [port of discharge — exact as PI] | Line 4: C-001/010 [crate number/total crates] | Line 5: [PI number] | Line 6: MADE IN INDIA. Verify every mark before the crate is moved to the loading area.</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A single character difference on a crate mark — an abbreviation, a missing accent, a shortened name — can cause customs to flag the crate as unmatched to the import documentation. In some jurisdictions this means the crate is held until the discrepancy is resolved. Resolution takes days. The buyer pays storage and demurrage. They bill NexaCrest.</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Prepare stencils from the Order Data Sheet — copy the buyer name and port directly. Do not write from memory. Check every crate mark before the crate leaves the packing area.</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COPY FROM ORDER DATA SHEET. EVERY CHARACTER. CHECK EVERY CRATE BEFORE IT MOVES.</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9038"/>
      </w:tblGrid>
      <w:tr>
        <w:tc>
          <w:tcPr>
            <w:tcW w:type="dxa" w:w="600"/>
            <w:tcBorders>
              <w:top w:val="single" w:color="854F0B" w:sz="16" w:space="0"/>
              <w:left w:val="single" w:color="854F0B" w:sz="16" w:space="0"/>
              <w:bottom w:val="single" w:color="854F0B" w:sz="4" w:space="0"/>
              <w:right w:val="single" w:color="854F0B" w:sz="4" w:space="0"/>
            </w:tcBorders>
            <w:shd w:fill="854F0B" w:val="clear"/>
            <w:tcMar>
              <w:top w:type="dxa" w:w="80"/>
              <w:left w:type="dxa" w:w="100"/>
              <w:bottom w:type="dxa" w:w="60"/>
              <w:right w:type="dxa" w:w="80"/>
            </w:tcMar>
          </w:tcPr>
          <w:p>
            <w:pPr>
              <w:spacing w:after="120"/>
              <w:jc w:val="center"/>
            </w:pPr>
            <w:r>
              <w:rPr>
                <w:rFonts w:ascii="Arial" w:cs="Arial" w:eastAsia="Arial" w:hAnsi="Arial"/>
                <w:b/>
                <w:bCs/>
                <w:color w:val="FFFFFF"/>
                <w:sz w:val="24"/>
                <w:szCs w:val="24"/>
              </w:rPr>
              <w:t xml:space="preserve">STEP 5</w:t>
            </w:r>
          </w:p>
        </w:tc>
        <w:tc>
          <w:tcPr>
            <w:tcW w:type="dxa" w:w="9038"/>
            <w:tcBorders>
              <w:top w:val="single" w:color="854F0B" w:sz="16" w:space="0"/>
              <w:left w:val="single" w:color="854F0B" w:sz="4" w:space="0"/>
              <w:bottom w:val="single" w:color="854F0B" w:sz="4" w:space="0"/>
              <w:right w:val="single" w:color="854F0B" w:sz="16" w:space="0"/>
            </w:tcBorders>
            <w:shd w:fill="FFF3CD" w:val="clear"/>
            <w:tcMar>
              <w:top w:type="dxa" w:w="80"/>
              <w:left w:type="dxa" w:w="160"/>
              <w:bottom w:type="dxa" w:w="60"/>
              <w:right w:type="dxa" w:w="140"/>
            </w:tcMar>
          </w:tcPr>
          <w:p>
            <w:pPr>
              <w:spacing w:after="120"/>
              <w:jc w:val="left"/>
            </w:pPr>
            <w:r>
              <w:rPr>
                <w:rFonts w:ascii="Arial" w:cs="Arial" w:eastAsia="Arial" w:hAnsi="Arial"/>
                <w:b/>
                <w:bCs/>
                <w:color w:val="17233A"/>
                <w:sz w:val="22"/>
                <w:szCs w:val="22"/>
              </w:rPr>
              <w:t xml:space="preserve">Record Weights and CBM — Weigh Every Crate</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FFF"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Think of it this way:  </w:t>
            </w:r>
            <w:r>
              <w:rPr>
                <w:rFonts w:ascii="Arial" w:cs="Arial" w:eastAsia="Arial" w:hAnsi="Arial"/>
                <w:i/>
                <w:iCs/>
                <w:color w:val="333333"/>
                <w:sz w:val="18"/>
                <w:szCs w:val="18"/>
              </w:rPr>
              <w:t xml:space="preserve">The packing team estimates the total weight based on previous orders of similar size. They do not weigh individual crates. The PL and BL show estimated weights. At the port the container is weighed under VGM (Verified Gross Mass) regulations. The actual weight is significantly different from the estimated weight on the BL. The shipping line flags a discrepancy. The container cannot be loaded until the BL is amended. The amendment takes a day. The vessel sails without the container. The next vessel is 10 days later.</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8F8F8"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TO DO:  </w:t>
            </w:r>
            <w:r>
              <w:rPr>
                <w:rFonts w:ascii="Arial" w:cs="Arial" w:eastAsia="Arial" w:hAnsi="Arial"/>
                <w:sz w:val="18"/>
                <w:szCs w:val="18"/>
              </w:rPr>
              <w:t xml:space="preserve">Weigh every crate — net weight (stone only) and gross weight (including packing material). Measure every crate — length, width, height in cm. Calculate CBM for each crate: L × W × H ÷ 1,000,000. Total all figures. Record in the packing register. Hand the packing register to the Documentation Officer for the Packing List and BL.</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8"/>
                <w:szCs w:val="18"/>
              </w:rPr>
              <w:t xml:space="preserve">❓  WHAT HAPPENS IF YOU SKIP THIS:  </w:t>
            </w:r>
            <w:r>
              <w:rPr>
                <w:rFonts w:ascii="Arial" w:cs="Arial" w:eastAsia="Arial" w:hAnsi="Arial"/>
                <w:color w:val="A32D2D"/>
                <w:sz w:val="18"/>
                <w:szCs w:val="18"/>
              </w:rPr>
              <w:t xml:space="preserve">Estimated weights and CBM on official export documents create a compliance risk at the port. VGM regulations require verified container weights. A mismatch between declared and actual weight can cause vessel booking cancellation — a delay that costs demurrage, rebooking fees, and the buyer's time.</w:t>
            </w:r>
          </w:p>
        </w:tc>
      </w:tr>
      <w:tr>
        <w:tc>
          <w:tcPr>
            <w:tcW w:type="dxa" w:w="600"/>
            <w:tcBorders>
              <w:top w:val="single" w:color="854F0B" w:sz="4" w:space="0"/>
              <w:left w:val="single" w:color="854F0B" w:sz="16" w:space="0"/>
              <w:bottom w:val="single" w:color="854F0B" w:sz="4"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4" w:space="0"/>
              <w:right w:val="single" w:color="854F0B" w:sz="16" w:space="0"/>
            </w:tcBorders>
            <w:shd w:fill="FFF3CD" w:val="clear"/>
            <w:tcMar>
              <w:top w:type="dxa" w:w="80"/>
              <w:left w:type="dxa" w:w="160"/>
              <w:bottom w:type="dxa" w:w="80"/>
              <w:right w:type="dxa" w:w="140"/>
            </w:tcMar>
          </w:tcPr>
          <w:p>
            <w:pPr>
              <w:spacing w:after="120"/>
              <w:jc w:val="left"/>
            </w:pPr>
            <w:r>
              <w:rPr>
                <w:rFonts w:ascii="Arial" w:cs="Arial" w:eastAsia="Arial" w:hAnsi="Arial"/>
                <w:b/>
                <w:bCs/>
                <w:color w:val="854F0B"/>
                <w:sz w:val="18"/>
                <w:szCs w:val="18"/>
              </w:rPr>
              <w:t xml:space="preserve">💡  THE SIMPLE FIX:  </w:t>
            </w:r>
            <w:r>
              <w:rPr>
                <w:rFonts w:ascii="Arial" w:cs="Arial" w:eastAsia="Arial" w:hAnsi="Arial"/>
                <w:color w:val="412402"/>
                <w:sz w:val="18"/>
                <w:szCs w:val="18"/>
              </w:rPr>
              <w:t xml:space="preserve">Weigh every crate with a calibrated scale. Measure every crate with a tape measure. Do not estimate. Do not use previous order figures.</w:t>
            </w:r>
          </w:p>
        </w:tc>
      </w:tr>
      <w:tr>
        <w:tc>
          <w:tcPr>
            <w:tcW w:type="dxa" w:w="600"/>
            <w:tcBorders>
              <w:top w:val="single" w:color="854F0B" w:sz="4" w:space="0"/>
              <w:left w:val="single" w:color="854F0B" w:sz="16" w:space="0"/>
              <w:bottom w:val="single" w:color="854F0B" w:sz="16" w:space="0"/>
              <w:right w:val="single" w:color="854F0B" w:sz="4" w:space="0"/>
            </w:tcBorders>
            <w:shd w:fill="854F0B" w:val="clear"/>
          </w:tcPr>
          <w:p>
            <w:pPr>
              <w:spacing w:after="20"/>
            </w:pPr>
          </w:p>
        </w:tc>
        <w:tc>
          <w:tcPr>
            <w:tcW w:type="dxa" w:w="9038"/>
            <w:tcBorders>
              <w:top w:val="single" w:color="854F0B" w:sz="4" w:space="0"/>
              <w:left w:val="single" w:color="854F0B" w:sz="4" w:space="0"/>
              <w:bottom w:val="single" w:color="854F0B" w:sz="16" w:space="0"/>
              <w:right w:val="single" w:color="854F0B" w:sz="16" w:space="0"/>
            </w:tcBorders>
            <w:shd w:fill="FBEAEA" w:val="clear"/>
            <w:tcMar>
              <w:top w:type="dxa" w:w="80"/>
              <w:left w:type="dxa" w:w="160"/>
              <w:bottom w:type="dxa" w:w="80"/>
              <w:right w:type="dxa" w:w="140"/>
            </w:tcMar>
          </w:tcPr>
          <w:p>
            <w:pPr>
              <w:spacing w:after="120"/>
              <w:jc w:val="left"/>
            </w:pPr>
            <w:r>
              <w:rPr>
                <w:rFonts w:ascii="Arial" w:cs="Arial" w:eastAsia="Arial" w:hAnsi="Arial"/>
                <w:b/>
                <w:bCs/>
                <w:color w:val="A32D2D"/>
                <w:sz w:val="19"/>
                <w:szCs w:val="19"/>
              </w:rPr>
              <w:t xml:space="preserve">⛔  WEIGH EVERY CRATE. MEASURE EVERY CRATE. NO ESTIMATES ON ANY DOCUMENT.</w:t>
            </w:r>
          </w:p>
          <w:p>
            <w:pPr>
              <w:spacing w:after="0"/>
              <w:jc w:val="left"/>
            </w:pPr>
            <w:r>
              <w:rPr>
                <w:rFonts w:ascii="Arial" w:cs="Arial" w:eastAsia="Arial" w:hAnsi="Arial"/>
                <w:i/>
                <w:iCs/>
                <w:color w:val="666666"/>
                <w:sz w:val="16"/>
                <w:szCs w:val="16"/>
              </w:rPr>
              <w:t xml:space="preserve">📖  For full context on this step — see Format A for the quick version.</w:t>
            </w:r>
          </w:p>
        </w:tc>
      </w:tr>
    </w:tbl>
    <w:p>
      <w:pPr>
        <w:spacing w:after="100"/>
      </w:pPr>
    </w:p>
    <w:sectPr>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2026-09-17T10:03:06.083Z</dcterms:created>
  <dcterms:modified xsi:type="dcterms:W3CDTF">2026-09-17T10:03:06.083Z</dcterms:modified>
</cp:coreProperties>
</file>

<file path=docProps/custom.xml><?xml version="1.0" encoding="utf-8"?>
<Properties xmlns="http://schemas.openxmlformats.org/officeDocument/2006/custom-properties" xmlns:vt="http://schemas.openxmlformats.org/officeDocument/2006/docPropsVTypes"/>
</file>