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QUOTATION</w:t>
            </w:r>
          </w:p>
          <w:p>
            <w:pPr>
              <w:jc w:val="right"/>
            </w:pPr>
            <w:r>
              <w:rPr>
                <w:rFonts w:ascii="Aptos" w:cs="Aptos" w:eastAsia="Aptos" w:hAnsi="Aptos"/>
                <w:b/>
                <w:bCs/>
                <w:color w:val="5B6573"/>
                <w:sz w:val="20"/>
                <w:szCs w:val="20"/>
              </w:rPr>
              <w:t xml:space="preserve">FOB CHENNAI, INDIA</w:t>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before="0" w:after="60"/>
      </w:pPr>
      <w:r>
        <w:rPr>
          <w:rFonts w:ascii="Aptos" w:cs="Aptos" w:eastAsia="Aptos" w:hAnsi="Aptos"/>
          <w:i/>
          <w:sz w:val="17"/>
          <w:szCs w:val="17"/>
          <w:color w:val="5B6573"/>
        </w:rPr>
        <w:t xml:space="preserve">Terms used in this document are defined in Section 9 — Legal Terms &amp; Definitions at the end of this document.</w:t>
      </w:r>
    </w:p>
    <w:p>
      <w:pPr>
        <w:spacing w:after="16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3212"/>
        <w:gridCol w:w="3212"/>
        <w:gridCol w:w="3212"/>
      </w:tblGrid>
      <w:tr>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QUOTATION NO. *</w:t>
            </w:r>
          </w:p>
          <w:p>
            <w:r>
              <w:rPr>
                <w:rFonts w:ascii="Aptos" w:cs="Aptos" w:eastAsia="Aptos" w:hAnsi="Aptos"/>
                <w:b/>
                <w:bCs/>
                <w:color w:val="17233A"/>
                <w:sz w:val="20"/>
                <w:szCs w:val="20"/>
              </w:rPr>
              <w:t xml:space="preserve">[SC/QT/YYYY/DDMMNNN Rev.00]</w:t>
            </w:r>
          </w:p>
        </w:tc>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rFonts w:ascii="Aptos" w:cs="Aptos" w:eastAsia="Aptos" w:hAnsi="Aptos"/>
                <w:b/>
                <w:bCs/>
                <w:color w:val="633806"/>
                <w:sz w:val="19"/>
                <w:szCs w:val="19"/>
              </w:rPr>
              <w:t xml:space="preserve">⏱  VALID UNTIL *   </w:t>
            </w:r>
            <w:r>
              <w:rPr>
                <w:rFonts w:ascii="Aptos" w:cs="Aptos" w:eastAsia="Aptos" w:hAnsi="Aptos"/>
                <w:b/>
                <w:bCs/>
                <w:color w:val="412402"/>
                <w:sz w:val="22"/>
                <w:szCs w:val="22"/>
              </w:rPr>
              <w:t xml:space="preserve">[DD Month YYYY — 30 days from quotation date]</w:t>
            </w:r>
            <w:r>
              <w:rPr>
                <w:rFonts w:ascii="Aptos" w:cs="Aptos" w:eastAsia="Aptos" w:hAnsi="Aptos"/>
                <w:i/>
                <w:iCs/>
                <w:color w:val="854F0B"/>
                <w:sz w:val="17"/>
                <w:szCs w:val="17"/>
              </w:rPr>
              <w:t xml:space="preserve">     Prices and terms are not valid after this date. Any advance payment received after the Valid Until date does not constitute acceptance of the quoted price. NexaCrest will issue a revised Quotation at updated prices before processing.</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SELLER / EXPORTER</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as per company registration]</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street address]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[buyer@email.com]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CONSIGNEE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Buyer?</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Consignee is same as Buyer — write SAME in Company Legal Name and leave all other fields blank.</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BL, CI, and PL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 — required for customs]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 — consignee contact for shipping line and port queries]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[consignee@email.com]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PRODUCT / ORDER DETAILS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380"/>
        <w:gridCol w:w="4200"/>
        <w:gridCol w:w="700"/>
        <w:gridCol w:w="700"/>
        <w:gridCol w:w="1400"/>
        <w:gridCol w:w="2258"/>
      </w:tblGrid>
      <w:tr>
        <w:tc>
          <w:tcPr>
            <w:tcW w:type="dxa" w:w="380"/>
            <w:tcBorders>
              <w:top w:val="single" w:color="D0D8E4" w:sz="2"/>
              <w:left w:val="single" w:color="D0D8E4" w:sz="2"/>
              <w:bottom w:val="single" w:color="D0D8E4" w:sz="2"/>
              <w:right w:val="single" w:color="D0D8E4" w:sz="2"/>
            </w:tcBorders>
            <w:shd w:fill="173B73" w:val="clear"/>
            <w:tcMar>
              <w:top w:type="dxa" w:w="90"/>
              <w:left w:type="dxa" w:w="60"/>
              <w:bottom w:type="dxa" w:w="90"/>
              <w:right w:type="dxa" w:w="100"/>
            </w:tcMar>
          </w:tcPr>
          <w:p>
            <w:pPr>
              <w:jc w:val="center"/>
            </w:pPr>
            <w:r>
              <w:rPr>
                <w:rFonts w:ascii="Aptos" w:cs="Aptos" w:eastAsia="Aptos" w:hAnsi="Aptos"/>
                <w:b/>
                <w:bCs/>
                <w:color w:val="FFFFFF"/>
                <w:sz w:val="18"/>
                <w:szCs w:val="18"/>
              </w:rPr>
              <w:t xml:space="preserve">#</w:t>
            </w:r>
          </w:p>
        </w:tc>
        <w:tc>
          <w:tcPr>
            <w:tcW w:type="dxa" w:w="42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Product Description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Qty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w:t>
            </w:r>
          </w:p>
        </w:tc>
        <w:tc>
          <w:tcPr>
            <w:tcW w:type="dxa" w:w="14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Price (USD) *</w:t>
            </w:r>
          </w:p>
        </w:tc>
        <w:tc>
          <w:tcPr>
            <w:tcW w:type="dxa" w:w="2258"/>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Amount (USD) *</w:t>
            </w:r>
          </w:p>
        </w:tc>
      </w:tr>
      <w:tr>
        <w:tc>
          <w:tcPr>
            <w:tcW w:type="dxa" w:w="380"/>
            <w:tcBorders>
              <w:top w:val="single" w:color="D0D8E4" w:sz="2"/>
              <w:left w:val="single" w:color="1D6FA8"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1D6FA8"/>
                <w:sz w:val="20"/>
                <w:szCs w:val="20"/>
              </w:rPr>
              <w:t xml:space="preserve">1</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[Product description — must match Quotation exactly]</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 / TBC]</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[m² / pcs / set / CBM / kg]</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 per unit / m² / set]</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[Qty × Price / TBC]</w:t>
            </w:r>
          </w:p>
        </w:tc>
      </w:tr>
      <w:tr>
        <w:tc>
          <w:tcPr>
            <w:tcW w:type="dxa" w:w="9638"/>
            <w:gridSpan w:val="6"/>
            <w:tcBorders>
              <w:top w:val="none" w:color="auto" w:sz="0"/>
              <w:left w:val="single" w:color="1D6FA8"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[For monument sets: list components here exactly as per Quotation — e.g., 1. Left frame 210×5×28 cm]</w:t>
            </w:r>
          </w:p>
        </w:tc>
      </w:tr>
      <w:tr>
        <w:tc>
          <w:tcPr>
            <w:tcW w:type="dxa" w:w="9638"/>
            <w:gridSpan w:val="6"/>
            <w:tcBorders>
              <w:top w:val="none" w:color="auto" w:sz="0"/>
              <w:left w:val="single" w:color="1D6FA8" w:sz="18" w:space="0"/>
              <w:bottom w:val="none" w:color="auto" w:sz="0"/>
              <w:right w:val="single" w:color="D0D8E4" w:sz="2"/>
            </w:tcBorders>
            <w:shd w:fill="F1F5F9" w:val="clear"/>
            <w:tcMar>
              <w:top w:type="dxa" w:w="50"/>
              <w:left w:type="dxa" w:w="200"/>
              <w:bottom w:type="dxa" w:w="50"/>
              <w:right w:type="dxa" w:w="120"/>
            </w:tcMar>
          </w:tcPr>
          <w:p>
            <w:r>
              <w:rPr>
                <w:rFonts w:ascii="Aptos" w:cs="Aptos" w:eastAsia="Aptos" w:hAnsi="Aptos"/>
                <w:color w:val="333333"/>
                <w:sz w:val="17"/>
                <w:szCs w:val="17"/>
              </w:rPr>
              <w:t xml:space="preserve">[For slabs/blocks/raw: delete these spec rows]</w:t>
            </w:r>
          </w:p>
        </w:tc>
      </w:tr>
      <w:tr>
        <w:tc>
          <w:tcPr>
            <w:tcW w:type="dxa" w:w="9638"/>
            <w:gridSpan w:val="6"/>
            <w:tcBorders>
              <w:top w:val="none" w:color="auto" w:sz="0"/>
              <w:left w:val="single" w:color="1D6FA8"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1D6FA8"/>
                <w:sz w:val="17"/>
                <w:szCs w:val="17"/>
              </w:rPr>
              <w:t xml:space="preserve">1.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[L × W × H cm]</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[e.g., Mirror Polished]</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r>
        <w:tc>
          <w:tcPr>
            <w:tcW w:type="dxa" w:w="380"/>
            <w:tcBorders>
              <w:top w:val="single" w:color="D0D8E4" w:sz="2"/>
              <w:left w:val="single" w:color="2D7D56"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2D7D56"/>
                <w:sz w:val="20"/>
                <w:szCs w:val="20"/>
              </w:rPr>
              <w:t xml:space="preserve">2</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[Second product if applicable — delete if single product only]</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 / TBC]</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[unit]</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 per unit / m² / set]</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[Qty × Price / TBC]</w:t>
            </w:r>
          </w:p>
        </w:tc>
      </w:tr>
      <w:tr>
        <w:tc>
          <w:tcPr>
            <w:tcW w:type="dxa" w:w="9638"/>
            <w:gridSpan w:val="6"/>
            <w:tcBorders>
              <w:top w:val="none" w:color="auto" w:sz="0"/>
              <w:left w:val="single" w:color="2D7D56"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2D7D56"/>
                <w:sz w:val="17"/>
                <w:szCs w:val="17"/>
              </w:rPr>
              <w:t xml:space="preserve">2.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[L × W × H cm]</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[Finish]</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4048"/>
      </w:tblGrid>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FOB Value (USD) *</w:t>
            </w:r>
            <w:r>
              <w:rPr>
                <w:rFonts w:ascii="Aptos" w:cs="Aptos" w:eastAsia="Aptos" w:hAnsi="Aptos"/>
                <w:b/>
                <w:bCs/>
                <w:color w:val="C0392B"/>
                <w:sz w:val="19"/>
                <w:szCs w:val="19"/>
              </w:rPr>
              <w:t xml:space="preserve"> *</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iCs/>
                <w:color w:val="5B6573"/>
                <w:sz w:val="18"/>
                <w:szCs w:val="18"/>
              </w:rPr>
              <w:t xml:space="preserve">[Sum of all product line amounts above]</w:t>
            </w:r>
            <w:r>
              <w:rPr>
                <w:rFonts w:ascii="Aptos" w:cs="Aptos" w:eastAsia="Aptos" w:hAnsi="Aptos"/>
                <w:b/>
                <w:bCs/>
                <w:color w:val="C0392B"/>
                <w:sz w:val="19"/>
                <w:szCs w:val="19"/>
              </w:rPr>
              <w:t xml:space="preserve"> *</w:t>
            </w:r>
          </w:p>
        </w:tc>
      </w:tr>
      <w:tr>
        <w:tc>
          <w:tcPr>
            <w:tcW w:type="dxa" w:w="559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Freight (USD)</w:t>
            </w:r>
          </w:p>
        </w:tc>
        <w:tc>
          <w:tcPr>
            <w:tcW w:type="dxa" w:w="4048"/>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FOB: NIL — freight arranged by buyer.</w:t>
              <w:br/>
              <w:t>CFR/CIF: Indicative approx. USD [XXX–XXX] per 20ft FCL, Chennai to [Port of Discharge]. Subject to confirmation at time of booking. Actual freight confirmed and recovered IN ADVANCE by Debit Note when cargo is packed and ready — Full payment required within 3 Calendar Days and must be confirmed as Payment Cleared before shipment booking is confirmed.</w:t>
            </w:r>
          </w:p>
        </w:tc>
      </w:tr>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Insurance (USD)</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 xml:space="preserve">FOB/CFR: NIL — buyer's responsibility.
CIF: Indicative approx. USD [XX–XX]. Confirmed by Debit Note when cargo is ready.</w:t>
            </w:r>
          </w:p>
        </w:tc>
      </w:tr>
      <w:tr>
        <w:tc>
          <w:tcPr>
            <w:tcW w:type="dxa" w:w="5590"/>
            <w:tcBorders>
              <w:top w:val="single" w:color="D0D8E4" w:sz="2"/>
              <w:left w:val="single" w:color="D0D8E4" w:sz="2"/>
              <w:bottom w:val="single" w:color="D0D8E4" w:sz="2"/>
              <w:right w:val="single" w:color="D0D8E4" w:sz="2"/>
            </w:tcBorders>
            <w:shd w:fill="17233A" w:val="clear"/>
            <w:tcMar>
              <w:top w:type="dxa" w:w="80"/>
              <w:left w:type="dxa" w:w="160"/>
              <w:bottom w:type="dxa" w:w="80"/>
              <w:right w:type="dxa" w:w="160"/>
            </w:tcMar>
          </w:tcPr>
          <w:p>
            <w:pPr>
              <w:jc w:val="right"/>
            </w:pPr>
            <w:r>
              <w:rPr>
                <w:rFonts w:ascii="Aptos" w:cs="Aptos" w:eastAsia="Aptos" w:hAnsi="Aptos"/>
                <w:b/>
                <w:bCs/>
                <w:color w:val="FFFFFF"/>
                <w:sz w:val="21"/>
                <w:szCs w:val="21"/>
              </w:rPr>
              <w:t xml:space="preserve">TOTAL QUOTED VALUE (USD)</w:t>
            </w:r>
          </w:p>
        </w:tc>
        <w:tc>
          <w:tcPr>
            <w:tcW w:type="dxa" w:w="4048"/>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60"/>
            </w:tcMar>
          </w:tcPr>
          <w:p>
            <w:pPr>
              <w:jc w:val="right"/>
            </w:pPr>
            <w:r>
              <w:rPr>
                <w:rFonts w:ascii="Aptos" w:cs="Aptos" w:eastAsia="Aptos" w:hAnsi="Aptos"/>
                <w:b/>
                <w:bCs/>
                <w:i/>
                <w:iCs/>
                <w:color w:val="FFFFFF"/>
                <w:sz w:val="21"/>
                <w:szCs w:val="21"/>
              </w:rPr>
              <w:t xml:space="preserve">[FOB + Freight + Insurance as applicable — if qty confirmed]
OR: Unit price as above × confirmed quantity. Total will be confirmed on Proforma Invoice once quantity is finalised.</w:t>
            </w:r>
          </w:p>
        </w:tc>
      </w:tr>
    </w:tbl>
    <w:p>
      <w:pPr>
        <w:spacing w:after="160" w:before="0"/>
      </w:pPr>
    </w:p>
    <w:p>
      <w:pPr>
        <w:spacing w:after="80"/>
      </w:pPr>
      <w:r>
        <w:rPr>
          <w:rFonts w:ascii="Aptos" w:cs="Aptos" w:eastAsia="Aptos" w:hAnsi="Aptos"/>
          <w:b/>
          <w:bCs/>
          <w:color w:val="17233A"/>
          <w:sz w:val="21"/>
          <w:szCs w:val="21"/>
        </w:rPr>
        <w:t xml:space="preserve">Weight &amp; Volume  </w:t>
      </w:r>
      <w:r>
        <w:rPr>
          <w:rFonts w:ascii="Aptos" w:cs="Aptos" w:eastAsia="Aptos" w:hAnsi="Aptos"/>
          <w:i/>
          <w:iCs/>
          <w:color w:val="5B6573"/>
          <w:sz w:val="18"/>
          <w:szCs w:val="18"/>
        </w:rPr>
        <w:t xml:space="preserve">(Estimated — actuals confirmed on Packing List after production)</w:t>
      </w: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4000"/>
        <w:gridCol w:w="4038"/>
        <w:gridCol w:w="1600"/>
      </w:tblGrid>
      <w:tr>
        <w:tc>
          <w:tcPr>
            <w:tcW w:type="dxa" w:w="40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Parameter</w:t>
            </w:r>
          </w:p>
        </w:tc>
        <w:tc>
          <w:tcPr>
            <w:tcW w:type="dxa" w:w="4038"/>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Estimated Value *</w:t>
            </w:r>
          </w:p>
        </w:tc>
        <w:tc>
          <w:tcPr>
            <w:tcW w:type="dxa" w:w="16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Unit</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Total CBM (m³)</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10.08]</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m³</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Gross Weight (incl. packing)</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iCs/>
                <w:color w:val="5B6573"/>
                <w:sz w:val="19"/>
                <w:szCs w:val="19"/>
              </w:rPr>
              <w:t xml:space="preserve">[e.g., 24,000]</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Net Weight (stone only)</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22,000]</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No. of Packages / Crates</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TBD at packing</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Crates</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Package Type</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Wooden Crates</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SHIPPING / COMMERCIAL TERMS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b/>
                <w:bCs/>
                <w:sz w:val="19"/>
                <w:szCs w:val="19"/>
              </w:rPr>
              <w:t xml:space="preserve">FOB Chennai, India — Incoterms® 2020</w:t>
            </w:r>
            <w:r>
              <w:rPr>
                <w:rFonts w:ascii="Aptos" w:cs="Aptos" w:eastAsia="Aptos" w:hAnsi="Aptos"/>
                <w:i/>
                <w:iCs/>
                <w:color w:val="5B6573"/>
                <w:sz w:val="18"/>
                <w:szCs w:val="18"/>
              </w:rPr>
              <w:t xml:space="preserve">  [or CFR / CIF Named Port — Incoterms® 2020]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destination port  /  destination port  /  destination port — must match buyer section]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Container Type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[1 × 20ft FCL  /  1 × 40ft FCL — based on CBM above]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Est. Lead Time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4–6 weeks from Advance Payment being confirmed as Payment Cleared]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Insurance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i/>
                <w:iCs/>
                <w:color w:val="5B6573"/>
                <w:sz w:val="19"/>
                <w:szCs w:val="19"/>
              </w:rPr>
              <w:t>FOB: Buyer’s responsibility. CIF: Seller arranges — actual freight and insurance cost confirmed and recovered in full in advance by separate Debit Note before shipment booking is confirmed. Full payment required within 3 Calendar Days of Debit Note date and must be confirmed as Payment Cleared before shipment booking is confirmed. Not included in this document value.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PAYMENT TERMS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 40% Advance Payment on FOB Value against Proforma Invoice.</w:t>
            </w:r>
            <w:r>
              <w:rPr>
                <w:rFonts w:ascii="Aptos" w:cs="Aptos" w:eastAsia="Aptos" w:hAnsi="Aptos"/>
                <w:b/>
                <w:bCs/>
                <w:color w:val="C0392B"/>
                <w:sz w:val="19"/>
                <w:szCs w:val="19"/>
              </w:rPr>
              <w:t xml:space="preserve">  *</w:t>
            </w:r>
          </w:p>
          <w:p>
            <w:pPr>
              <w:spacing w:after="80"/>
            </w:pPr>
            <w:r>
              <w:rPr>
                <w:rFonts w:ascii="Aptos" w:cs="Aptos" w:eastAsia="Aptos" w:hAnsi="Aptos"/>
                <w:color w:val="333333"/>
                <w:sz w:val="19"/>
                <w:szCs w:val="19"/>
              </w:rPr>
              <w:t xml:space="preserve">  40% Advance Amount:   USD [XXXXX.XX  =  FOB Value × 0.40]</w:t>
            </w:r>
            <w:r>
              <w:rPr>
                <w:rFonts w:ascii="Aptos" w:cs="Aptos" w:eastAsia="Aptos" w:hAnsi="Aptos"/>
                <w:b/>
                <w:bCs/>
                <w:color w:val="C0392B"/>
                <w:sz w:val="19"/>
                <w:szCs w:val="19"/>
              </w:rPr>
              <w:t xml:space="preserve">  *</w:t>
            </w:r>
          </w:p>
          <w:p>
            <w:pPr>
              <w:spacing w:after="80"/>
            </w:pPr>
            <w:r>
              <w:rPr>
                <w:rFonts w:ascii="Aptos" w:cs="Aptos" w:eastAsia="Aptos" w:hAnsi="Aptos"/>
                <w:b/>
                <w:bCs/>
                <w:sz w:val="19"/>
                <w:szCs w:val="19"/>
              </w:rPr>
              <w:t xml:space="preserve">• 60% Balance Payment on FOB Value payable before shipment — within 3 Calendar Days of receiving shipment readiness confirmation from NexaCrest.</w:t>
            </w:r>
            <w:r>
              <w:rPr>
                <w:rFonts w:ascii="Aptos" w:cs="Aptos" w:eastAsia="Aptos" w:hAnsi="Aptos"/>
                <w:b/>
                <w:bCs/>
                <w:color w:val="C0392B"/>
                <w:sz w:val="19"/>
                <w:szCs w:val="19"/>
              </w:rPr>
              <w:t xml:space="preserve">  *</w:t>
            </w:r>
          </w:p>
          <w:p>
            <w:pPr>
              <w:spacing w:after="80"/>
            </w:pPr>
            <w:r>
              <w:rPr>
                <w:rFonts w:ascii="Aptos" w:cs="Aptos" w:eastAsia="Aptos" w:hAnsi="Aptos"/>
                <w:color w:val="333333"/>
                <w:sz w:val="19"/>
                <w:szCs w:val="19"/>
              </w:rPr>
              <w:t xml:space="preserve">  60% Balance Amount:   USD [XXXXX.XX  =  FOB Value minus 40% advance received]</w:t>
            </w:r>
            <w:r>
              <w:rPr>
                <w:rFonts w:ascii="Aptos" w:cs="Aptos" w:eastAsia="Aptos" w:hAnsi="Aptos"/>
                <w:b/>
                <w:bCs/>
                <w:color w:val="C0392B"/>
                <w:sz w:val="19"/>
                <w:szCs w:val="19"/>
              </w:rPr>
              <w:t xml:space="preserve">  *</w:t>
            </w:r>
          </w:p>
          <w:p>
            <w:pPr>
              <w:spacing w:after="80"/>
            </w:pPr>
            <w:r>
              <w:rPr>
                <w:rFonts w:ascii="Aptos" w:cs="Aptos" w:eastAsia="Aptos" w:hAnsi="Aptos"/>
                <w:b/>
                <w:bCs/>
                <w:sz w:val="19"/>
                <w:szCs w:val="19"/>
              </w:rPr>
              <w:t xml:space="preserve">• Freight &amp; Insurance (CFR/CIF orders only): </w:t>
            </w:r>
            <w:r>
              <w:rPr>
                <w:rFonts w:ascii="Aptos" w:cs="Aptos" w:eastAsia="Aptos" w:hAnsi="Aptos"/>
                <w:color w:val="333333"/>
                <w:sz w:val="19"/>
                <w:szCs w:val="19"/>
              </w:rPr>
              <w:t>Actual confirmed amounts invoiced separately by Debit Note before shipment booking is confirmed. Full payment required within 3 Calendar Days of Debit Note date and must be confirmed as Payment Cleared before shipment booking is confirmed.</w:t>
            </w:r>
          </w:p>
          <w:p>
            <w:r>
              <w:rPr>
                <w:rFonts w:ascii="Aptos" w:cs="Aptos" w:eastAsia="Aptos" w:hAnsi="Aptos"/>
                <w:b/>
                <w:bCs/>
                <w:sz w:val="19"/>
                <w:szCs w:val="19"/>
              </w:rPr>
              <w:t xml:space="preserve">  Currency: USD</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DOCUMENTS TO BE PROVIDED</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Upon shipment, the following documents will be provided:</w:t>
            </w:r>
          </w:p>
          <w:p>
            <w:pPr>
              <w:spacing w:after="60"/>
            </w:pPr>
            <w:r>
              <w:rPr>
                <w:rFonts w:ascii="Aptos" w:cs="Aptos" w:eastAsia="Aptos" w:hAnsi="Aptos"/>
                <w:sz w:val="19"/>
                <w:szCs w:val="19"/>
              </w:rPr>
              <w:t xml:space="preserve">1.  Commercial Invoice (digitally authorised)</w:t>
            </w:r>
          </w:p>
          <w:p>
            <w:pPr>
              <w:spacing w:after="60"/>
            </w:pPr>
            <w:r>
              <w:rPr>
                <w:rFonts w:ascii="Aptos" w:cs="Aptos" w:eastAsia="Aptos" w:hAnsi="Aptos"/>
                <w:sz w:val="19"/>
                <w:szCs w:val="19"/>
              </w:rPr>
              <w:t xml:space="preserve">2.  Packing List (digitally authorised)</w:t>
            </w:r>
          </w:p>
          <w:p>
            <w:pPr>
              <w:spacing w:after="60"/>
            </w:pPr>
            <w:r>
              <w:rPr>
                <w:rFonts w:ascii="Aptos" w:cs="Aptos" w:eastAsia="Aptos" w:hAnsi="Aptos"/>
                <w:sz w:val="19"/>
                <w:szCs w:val="19"/>
              </w:rPr>
              <w:t xml:space="preserve">3.  Certificate of Origin — GSP Form A (preferential) or Non-preferential, as confirmed by buyer  |  Issued by CAPEXIL</w:t>
            </w:r>
          </w:p>
          <w:p>
            <w:pPr>
              <w:spacing w:after="60"/>
            </w:pPr>
            <w:r>
              <w:rPr>
                <w:rFonts w:ascii="Aptos" w:cs="Aptos" w:eastAsia="Aptos" w:hAnsi="Aptos"/>
                <w:sz w:val="19"/>
                <w:szCs w:val="19"/>
              </w:rPr>
              <w:t xml:space="preserve">4.  Bill of Lading — 3 originals issued by the shipping line | 2 originals couriered to Buyer within 3 Working Days of Balance Payment being confirmed as Payment Cleared | 1 original retained by NexaCrest</w:t>
            </w:r>
          </w:p>
          <w:p>
            <w:r>
              <w:rPr>
                <w:rFonts w:ascii="Aptos" w:cs="Aptos" w:eastAsia="Aptos" w:hAnsi="Aptos"/>
                <w:sz w:val="19"/>
                <w:szCs w:val="19"/>
              </w:rPr>
              <w:t xml:space="preserve">5.  Fumigation Certificate — provided as standard with every shipment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TERMS &amp; CONDITIONS</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r>
              <w:rPr>
                <w:rFonts w:ascii="Aptos" w:cs="Aptos" w:eastAsia="Aptos" w:hAnsi="Aptos"/>
                <w:b/>
                <w:bCs/>
                <w:color w:val="8A1F1F"/>
                <w:sz w:val="20"/>
                <w:szCs w:val="20"/>
              </w:rPr>
              <w:t xml:space="preserve">⚠  Annexure A — Product Technical Specifications is attached and forms an integral part of this Quotation. Refer Annexure A for product images, technical drawings, and component dimensions.</w:t>
            </w:r>
          </w:p>
        </w:tc>
      </w:tr>
    </w:tbl>
    <w:p>
      <w:pPr>
        <w:spacing w:after="12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sz w:val="19"/>
                <w:szCs w:val="19"/>
              </w:rPr>
              <w:t xml:space="preserve">• Bank details for advance payment will be provided on the Proforma Invoice.</w:t>
            </w:r>
          </w:p>
          <w:p>
            <w:pPr>
              <w:spacing w:after="80"/>
            </w:pPr>
            <w:r>
              <w:rPr>
                <w:rFonts w:ascii="Aptos" w:cs="Aptos" w:eastAsia="Aptos" w:hAnsi="Aptos"/>
                <w:sz w:val="19"/>
                <w:szCs w:val="19"/>
              </w:rPr>
              <w:t xml:space="preserve">• This Quotation is valid for 30 days from the date of issue as shown in the Valid Until field above. After this date, prices and terms are subject to revision.</w:t>
            </w:r>
          </w:p>
          <w:p>
            <w:pPr>
              <w:spacing w:after="80"/>
            </w:pPr>
            <w:r>
              <w:rPr>
                <w:rFonts w:ascii="Aptos" w:cs="Aptos" w:eastAsia="Aptos" w:hAnsi="Aptos"/>
                <w:sz w:val="19"/>
                <w:szCs w:val="19"/>
              </w:rPr>
              <w:t xml:space="preserve">• All prices are in USD. FOB Chennai, India unless otherwise stated.</w:t>
            </w:r>
          </w:p>
          <w:p>
            <w:pPr>
              <w:spacing w:after="80"/>
            </w:pPr>
            <w:r>
              <w:rPr>
                <w:rFonts w:ascii="Aptos" w:cs="Aptos" w:eastAsia="Aptos" w:hAnsi="Aptos"/>
                <w:sz w:val="19"/>
                <w:szCs w:val="19"/>
              </w:rPr>
              <w:t>• CFR / CIF pricing: if required, indicative freight shown above is valid for 25 days from quotation date. Actual freight will be confirmed once cargo is packed and ready, and recovered IN ADVANCE by separate Debit Note — Full payment required within 3 Calendar Days of issue and must be confirmed as Payment Cleared before shipment booking is confirmed. NexaCrest cannot book the container or hand over cargo to the shipping line until freight payment is received and verified.</w:t>
            </w:r>
          </w:p>
          <w:p>
            <w:pPr>
              <w:spacing w:after="80"/>
            </w:pPr>
            <w:r>
              <w:rPr>
                <w:rFonts w:ascii="Aptos" w:cs="Aptos" w:eastAsia="Aptos" w:hAnsi="Aptos"/>
                <w:sz w:val="19"/>
                <w:szCs w:val="19"/>
              </w:rPr>
              <w:t xml:space="preserve">• Weight, CBM, and number of crates are estimates. Actuals are confirmed on the Packing List after production.</w:t>
            </w:r>
          </w:p>
          <w:p>
            <w:pPr>
              <w:spacing w:after="80"/>
            </w:pPr>
            <w:r>
              <w:rPr>
                <w:rFonts w:ascii="Aptos" w:cs="Aptos" w:eastAsia="Aptos" w:hAnsi="Aptos"/>
                <w:sz w:val="19"/>
                <w:szCs w:val="19"/>
              </w:rPr>
              <w:t xml:space="preserve">• Natural Stone Characteristics: All granite supplied is Grade A quality, selected for colour consistency. As with all natural stone, minor variation in shade, grain and veining may occur between pieces — however, Natural variation inherent to natural stone including colour, veining, and texture is not a defect. Any claim of colour non-conformance must be assessed against the agreed pre-shipment sample approved by the Buyer in writing prior to Loading. In the absence of an approved pre-shipment sample, the Buyer accepts all colour variation inherent to natural stone.. Products will conform to the agreed specification.</w:t>
            </w:r>
          </w:p>
          <w:p>
            <w:pPr>
              <w:spacing w:after="80"/>
            </w:pPr>
            <w:r>
              <w:rPr>
                <w:rFonts w:ascii="Aptos" w:cs="Aptos" w:eastAsia="Aptos" w:hAnsi="Aptos"/>
                <w:sz w:val="19"/>
                <w:szCs w:val="19"/>
              </w:rPr>
              <w:t xml:space="preserve">• Quantity Tolerance: Actual quantity shipped will not exceed the ordered quantity. A shortfall of up to 5% may occur due to natural stone production characteristics and will be invoiced at actual quantity shipped. Buyer will be notified in writing before shipment of any shortfall exceeding 5%, and shipment will require buyer's written approval.</w:t>
            </w:r>
          </w:p>
          <w:p>
            <w:pPr>
              <w:spacing w:after="80"/>
            </w:pPr>
            <w:r>
              <w:rPr>
                <w:rFonts w:ascii="Aptos" w:cs="Aptos" w:eastAsia="Aptos" w:hAnsi="Aptos"/>
                <w:sz w:val="19"/>
                <w:szCs w:val="19"/>
              </w:rPr>
              <w:t xml:space="preserve">• A formal Proforma Invoice will be issued upon receipt of the NexaCrest Order Form, signed, sealed, and returned by the Buyer as the Buyer's formal Purchase Order confirming acceptance of all terms stated in this Quotation.</w:t>
            </w:r>
          </w:p>
          <w:p>
            <w:pPr>
              <w:spacing w:after="80"/>
            </w:pPr>
            <w:r>
              <w:rPr>
                <w:rFonts w:ascii="Aptos" w:cs="Aptos" w:eastAsia="Aptos" w:hAnsi="Aptos"/>
                <w:sz w:val="19"/>
                <w:szCs w:val="19"/>
              </w:rPr>
              <w:t xml:space="preserve">• Bank Details: Full bank details for advance payment will be provided on the Proforma Invoice issued after acceptance of this Quotation.</w:t>
            </w:r>
          </w:p>
          <w:p>
            <w:pPr>
              <w:spacing w:after="80"/>
            </w:pPr>
            <w:r>
              <w:rPr>
                <w:rFonts w:ascii="Aptos" w:cs="Aptos" w:eastAsia="Aptos" w:hAnsi="Aptos"/>
                <w:sz w:val="19"/>
                <w:szCs w:val="19"/>
              </w:rPr>
              <w:t xml:space="preserve">• If order quantity is not confirmed at quotation stage, the unit price above is valid for 30 days. Total order value and advance payment amount will be confirmed on the Proforma Invoice once quantity is finalised.</w:t>
            </w:r>
          </w:p>
          <w:p>
            <w:pPr>
              <w:spacing w:after="80"/>
            </w:pPr>
            <w:r>
              <w:rPr>
                <w:rFonts w:ascii="Aptos" w:cs="Aptos" w:eastAsia="Aptos" w:hAnsi="Aptos"/>
                <w:sz w:val="19"/>
                <w:szCs w:val="19"/>
              </w:rPr>
              <w:t xml:space="preserve">• Production commences only after 40% advance payment is confirmed as Payment Cleared in NexaCrest's bank account. Remittance copy alone does not constitute Remittance Copy. Please allow 1–2 banking days for clearance confirmation before expecting production to commence.</w:t>
            </w:r>
          </w:p>
          <w:p>
            <w:pPr>
              <w:spacing w:after="80"/>
            </w:pPr>
            <w:r>
              <w:rPr>
                <w:rFonts w:ascii="Aptos" w:cs="Aptos" w:eastAsia="Aptos" w:hAnsi="Aptos"/>
                <w:sz w:val="19"/>
                <w:szCs w:val="19"/>
              </w:rPr>
              <w:t>• PAYMENT TERMS FINALITY: The payment terms stated in this document are fixed and binding upon acceptance of this document or receipt of any advance payment, whichever occurs first. Neither party shall unilaterally modify, replace, or impose any additional or different payment terms after such acceptance or receipt of advance payment. Any amendment, modification, waiver, or variation of the payment terms shall be valid only if expressly agreed in writing by authorised representatives of both parties. The agreed payment terms may not be amended or waived by any verbal statement, informal communication, partial payment, purchase-order notation, or course of conduct, whether any of these occur individually or in combination. Any such amendment shall be documented in a NexaCrest's formal Payment Terms Amendment document, signed by authorised representatives of both parties before the amendment takes effect.</w:t>
            </w:r>
          </w:p>
          <w:p>
            <w:pPr>
              <w:spacing w:after="80"/>
            </w:pPr>
            <w:r>
              <w:rPr>
                <w:rFonts w:ascii="Aptos" w:cs="Aptos" w:eastAsia="Aptos" w:hAnsi="Aptos"/>
                <w:sz w:val="19"/>
                <w:szCs w:val="19"/>
              </w:rPr>
              <w:t xml:space="preserve">• DISPUTE RESOLUTION &amp; PUBLIC COMMUNICATIONS: Any dispute, disagreement, complaint, or claim arising out of or in connection with this transaction shall first be notified to the other party in writing by email to the contact email address stated in this document. Written notice shall be deemed delivered upon confirmation of receipt by the receiving party, or within 48 hours of sending to the email address stated in this document, whichever is earlier. It is the responsibility of each party to ensure their stated contact email address is active and monitored. The receiving party shall respond within ten (10) working days of deemed delivery and both parties shall make reasonable and good-faith efforts to resolve the matter amicably. Until the dispute is resolved, neither party shall publish or communicate any knowingly false, misleading, defamatory, threatening, or materially disparaging statement concerning the other party, the transaction, or the dispute on social media, review platforms, trade forums, industry groups, websites, or any other public or semi-public channel. Nothing in this clause shall restrict either party from making disclosures strictly required by law or from communicating with courts, arbitral tribunals, governmental authorities, regulators, customs authorities, insurers, banks, legal advisers, auditors, or other professional advisers, or from exercising any legal or contractual right or remedy. A party shall be responsible, to the extent permitted by applicable law, for public communications made by its employees, agents, representatives, or other persons acting on its behalf or with its authority. Any breach of this clause shall entitle the non-breaching party to seek removal or correction of the offending content and any other contractual or legal remedies available under applicable law. This clause shall survive completion or termination of the transaction. The restriction on false, misleading, defamatory, threatening, or materially disparaging communications shall continue indefinitely after resolution of any dispute and shall not expire.</w:t>
            </w:r>
          </w:p>
          <w:p>
            <w:pPr>
              <w:spacing w:after="80"/>
            </w:pPr>
            <w:r>
              <w:rPr>
                <w:rFonts w:ascii="Aptos" w:cs="Aptos" w:eastAsia="Aptos" w:hAnsi="Aptos"/>
                <w:sz w:val="19"/>
                <w:szCs w:val="19"/>
              </w:rPr>
              <w:t xml:space="preserve">• ACCEPTANCE &amp; ORDER OF PRECEDENCE: This document, together with the commercial terms and conditions stated herein, constitutes the commercial basis of the transaction. Acceptance of this document, issuance of any purchase order in connection with this transaction, written confirmation of the order, or payment of any advance amount — whether in full or in part — shall each independently constitute acceptance of all terms and conditions stated in this document. Any term or condition contained in a buyer's purchase order or other document that conflicts with or varies from the terms stated herein shall not apply unless expressly accepted in writing by authorised representatives of NexaCrest International Private Limited. For the purpose of this clause, 'advance payment' means the advance percentage stated in this document, not a partial or accidental payment of any lesser amount.</w:t>
            </w:r>
          </w:p>
          <w:p>
            <w:pPr>
              <w:spacing w:after="80"/>
            </w:pPr>
            <w:r>
              <w:rPr>
                <w:rFonts w:ascii="Aptos" w:cs="Aptos" w:eastAsia="Aptos" w:hAnsi="Aptos"/>
                <w:sz w:val="19"/>
                <w:szCs w:val="19"/>
              </w:rPr>
              <w:t xml:space="preserve">• Partial Shipment: Not permitted. NexaCrest ships complete orders only — minimum one full FCL. Mixed-product containers (multiple products in one FCL) are permitted.</w:t>
            </w:r>
          </w:p>
          <w:p>
            <w:pPr>
              <w:spacing w:after="80"/>
            </w:pPr>
            <w:r>
              <w:rPr>
                <w:rFonts w:ascii="Aptos" w:cs="Aptos" w:eastAsia="Aptos" w:hAnsi="Aptos"/>
                <w:sz w:val="19"/>
                <w:szCs w:val="19"/>
              </w:rPr>
              <w:t xml:space="preserve">• Import Clearance &amp; Destination Charges: Unless expressly stated otherwise under the agreed Incoterm, the buyer is solely responsible for import customs clearance, import duties, taxes, VAT, permits, licences and all destination-country charges. NexaCrest bears no responsibility for destination-side costs or delays.</w:t>
            </w:r>
          </w:p>
          <w:p>
            <w:pPr>
              <w:spacing w:after="0"/>
            </w:pPr>
            <w:r>
              <w:rPr>
                <w:rFonts w:ascii="Aptos" w:cs="Aptos" w:eastAsia="Aptos" w:hAnsi="Aptos"/>
                <w:sz w:val="19"/>
                <w:szCs w:val="19"/>
              </w:rPr>
              <w:t xml:space="preserve">• Shipment Booking: For CFR/CIF orders, shipment booking will be confirmed only after full freight and insurance payment is confirmed as Payment Cleared in NexaCrest's bank account against the Debit Note. NexaCrest cannot book the container or hand over cargo to the shipping line until freight payment is verified.</w:t>
            </w:r>
          </w:p>
        </w:tc>
      </w:tr>
    </w:tbl>
    <w:p>
      <w:pPr>
        <w:spacing w:after="30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9.  LEGAL TERMS &amp; DEFINITIONS</w:t>
            </w:r>
          </w:p>
        </w:tc>
      </w:tr>
    </w:tbl>
    <w:p>
      <w:pPr>
        <w:spacing w:before="0" w:after="8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spacing w:before="40" w:after="40"/>
              <w:ind w:left="180" w:right="180"/>
            </w:pPr>
            <w:r>
              <w:rPr>
                <w:rFonts w:ascii="Aptos" w:cs="Aptos" w:eastAsia="Aptos" w:hAnsi="Aptos"/>
                <w:sz w:val="18"/>
                <w:szCs w:val="18"/>
                <w:color w:val="17233A"/>
                <w:b/>
                <w:bCs/>
              </w:rPr>
              <w:t xml:space="preserve">• Bill of Lading Policy: </w:t>
            </w:r>
            <w:r>
              <w:rPr>
                <w:rFonts w:ascii="Aptos" w:cs="Aptos" w:eastAsia="Aptos" w:hAnsi="Aptos"/>
                <w:sz w:val="18"/>
                <w:szCs w:val="18"/>
                <w:color w:val="000000"/>
              </w:rPr>
              <w:t xml:space="preserve">NexaCrest issues all shipments with the Bill of Lading consigned “To Order of NexaCrest International Private Limited”. This is NexaCrest company policy and cannot be changed under any circumstances. Original BLs are released to the Buyer only after Balance Payment is confirmed as Payment Cleared in NexaCrest’s designated bank account.</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is expressly excluded from this Agreement.</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2026-09-17T06:44:27.133Z</dcterms:created>
  <dcterms:modified xsi:type="dcterms:W3CDTF">2026-09-17T06:44:27.140Z</dcterms:modified>
</cp:coreProperties>
</file>

<file path=docProps/custom.xml><?xml version="1.0" encoding="utf-8"?>
<Properties xmlns="http://schemas.openxmlformats.org/officeDocument/2006/custom-properties" xmlns:vt="http://schemas.openxmlformats.org/officeDocument/2006/docPropsVTypes"/>
</file>