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PROFORMA INVOICE</w:t>
            </w:r>
          </w:p>
          <w:p>
            <w:pPr>
              <w:jc w:val="right"/>
            </w:pPr>
            <w:r>
              <w:rPr>
                <w:rFonts w:ascii="Aptos" w:cs="Aptos" w:eastAsia="Aptos" w:hAnsi="Aptos"/>
                <w:b/>
                <w:bCs/>
                <w:color w:val="5B6573"/>
                <w:sz w:val="20"/>
                <w:szCs w:val="20"/>
              </w:rPr>
              <w:t xml:space="preserve">FOB CHENNAI, INDIA</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11 — Legal Terms &amp; Definitions at the end of this document.</w:t>
      </w:r>
    </w:p>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NUMBER *</w:t>
            </w:r>
          </w:p>
          <w:p>
            <w:r>
              <w:rPr>
                <w:rFonts w:ascii="Aptos" w:cs="Aptos" w:eastAsia="Aptos" w:hAnsi="Aptos"/>
                <w:b/>
                <w:bCs/>
                <w:color w:val="17233A"/>
                <w:sz w:val="20"/>
                <w:szCs w:val="20"/>
              </w:rPr>
              <w:t xml:space="preserve">[SC/PI/YYYY/DDMMNNN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QUOTATION REF *</w:t>
            </w:r>
          </w:p>
          <w:p>
            <w:r>
              <w:rPr>
                <w:rFonts w:ascii="Aptos" w:cs="Aptos" w:eastAsia="Aptos" w:hAnsi="Aptos"/>
                <w:b/>
                <w:bCs/>
                <w:color w:val="17233A"/>
                <w:sz w:val="20"/>
                <w:szCs w:val="20"/>
              </w:rPr>
              <w:t xml:space="preserve">[SC/QT/YYYY/DDMMNNN]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VALID UNTIL *   </w:t>
            </w:r>
            <w:r>
              <w:rPr>
                <w:rFonts w:ascii="Aptos" w:cs="Aptos" w:eastAsia="Aptos" w:hAnsi="Aptos"/>
                <w:b/>
                <w:bCs/>
                <w:color w:val="412402"/>
                <w:sz w:val="22"/>
                <w:szCs w:val="22"/>
              </w:rPr>
              <w:t xml:space="preserve">[DD Month YYYY — 15 days from PI date]</w:t>
            </w:r>
            <w:r>
              <w:rPr>
                <w:rFonts w:ascii="Aptos" w:cs="Aptos" w:eastAsia="Aptos" w:hAnsi="Aptos"/>
                <w:i/>
                <w:iCs/>
                <w:color w:val="854F0B"/>
                <w:sz w:val="17"/>
                <w:szCs w:val="17"/>
              </w:rPr>
              <w:t xml:space="preserve">     Payment must be received before this date for prices and terms to remain valid.</w:t>
            </w:r>
          </w:p>
        </w:tc>
      </w:tr>
    </w:tbl>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2D7D56" w:sz="14" w:space="0"/>
              <w:bottom w:val="single" w:color="D0D8E4" w:sz="2"/>
              <w:right w:val="single" w:color="D0D8E4" w:sz="2"/>
            </w:tcBorders>
            <w:shd w:fill="EAF3DE" w:val="clear"/>
            <w:tcMar>
              <w:top w:type="dxa" w:w="100"/>
              <w:left w:type="dxa" w:w="180"/>
              <w:bottom w:type="dxa" w:w="100"/>
              <w:right w:type="dxa" w:w="180"/>
            </w:tcMar>
          </w:tcPr>
          <w:p>
            <w:pPr>
              <w:spacing w:after="60"/>
            </w:pPr>
            <w:r>
              <w:rPr>
                <w:rFonts w:ascii="Aptos" w:cs="Aptos" w:eastAsia="Aptos" w:hAnsi="Aptos"/>
                <w:b/>
                <w:bCs/>
                <w:color w:val="27500A"/>
                <w:sz w:val="19"/>
                <w:szCs w:val="19"/>
              </w:rPr>
              <w:t xml:space="preserve">GST DECLARATION: </w:t>
            </w:r>
            <w:r>
              <w:rPr>
                <w:rFonts w:ascii="Aptos" w:cs="Aptos" w:eastAsia="Aptos" w:hAnsi="Aptos"/>
                <w:color w:val="3B6D11"/>
                <w:sz w:val="19"/>
                <w:szCs w:val="19"/>
              </w:rPr>
              <w:t xml:space="preserve">Supply meant for export under Letter of Undertaking (LUT) without payment of Integrated Tax (IGST).</w:t>
            </w:r>
          </w:p>
          <w:p>
            <w:r>
              <w:rPr>
                <w:rFonts w:ascii="Aptos" w:cs="Aptos" w:eastAsia="Aptos" w:hAnsi="Aptos"/>
                <w:b/>
                <w:bCs/>
                <w:color w:val="27500A"/>
                <w:sz w:val="19"/>
                <w:szCs w:val="19"/>
              </w:rPr>
              <w:t xml:space="preserve">LUT Order No.: ZD290626057408W</w:t>
            </w:r>
            <w:r>
              <w:rPr>
                <w:rFonts w:ascii="Aptos" w:cs="Aptos" w:eastAsia="Aptos" w:hAnsi="Aptos"/>
                <w:color w:val="3B6D11"/>
                <w:sz w:val="18"/>
                <w:szCs w:val="18"/>
              </w:rPr>
              <w:t xml:space="preserve">   ·   Valid for FY 2026-27   ·   GSTIN: 29AAKCN8733G1ZZ</w:t>
            </w:r>
            <w:r>
              <w:rPr>
                <w:rFonts w:ascii="Aptos" w:cs="Aptos" w:eastAsia="Aptos" w:hAnsi="Aptos"/>
                <w:i/>
                <w:iCs/>
                <w:color w:val="5A8A30"/>
                <w:sz w:val="17"/>
                <w:szCs w:val="17"/>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SELLER / EXPORTER</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Quotation]</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[buyer@email.com]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CONSIGNEE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shipping line and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NOTIFY PARTY</w:t>
            </w:r>
          </w:p>
        </w:tc>
      </w:tr>
    </w:tbl>
    <w:p>
      <w:pPr>
        <w:spacing w:before="0" w:after="80"/>
      </w:pPr>
    </w:p>
    <w:p>
      <w:pPr>
        <w:spacing w:before="0" w:after="6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Consignee?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yes — write 'SAME AS CONSIGNEE'. If different (e.g., buyer's freight agent at destination), fill below.</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Notify Party Name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at destination — if different from consignee]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contact at destination]</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[freight agent email — for arrival notices]</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PRODUCT / ORDER DETAILS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380"/>
        <w:gridCol w:w="4200"/>
        <w:gridCol w:w="700"/>
        <w:gridCol w:w="700"/>
        <w:gridCol w:w="1400"/>
        <w:gridCol w:w="2258"/>
      </w:tblGrid>
      <w:tr>
        <w:tc>
          <w:tcPr>
            <w:tcW w:type="dxa" w:w="380"/>
            <w:tcBorders>
              <w:top w:val="single" w:color="D0D8E4" w:sz="2"/>
              <w:left w:val="single" w:color="D0D8E4" w:sz="2"/>
              <w:bottom w:val="single" w:color="D0D8E4" w:sz="2"/>
              <w:right w:val="single" w:color="D0D8E4" w:sz="2"/>
            </w:tcBorders>
            <w:shd w:fill="173B73" w:val="clear"/>
            <w:tcMar>
              <w:top w:type="dxa" w:w="90"/>
              <w:left w:type="dxa" w:w="60"/>
              <w:bottom w:type="dxa" w:w="90"/>
              <w:right w:type="dxa" w:w="100"/>
            </w:tcMar>
          </w:tcPr>
          <w:p>
            <w:pPr>
              <w:jc w:val="center"/>
            </w:pPr>
            <w:r>
              <w:rPr>
                <w:rFonts w:ascii="Aptos" w:cs="Aptos" w:eastAsia="Aptos" w:hAnsi="Aptos"/>
                <w:b/>
                <w:bCs/>
                <w:color w:val="FFFFFF"/>
                <w:sz w:val="18"/>
                <w:szCs w:val="18"/>
              </w:rPr>
              <w:t xml:space="preserve">#</w:t>
            </w:r>
          </w:p>
        </w:tc>
        <w:tc>
          <w:tcPr>
            <w:tcW w:type="dxa" w:w="42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Product Description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Qty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Price (USD) *</w:t>
            </w:r>
          </w:p>
        </w:tc>
        <w:tc>
          <w:tcPr>
            <w:tcW w:type="dxa" w:w="2258"/>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Amount (USD) *</w:t>
            </w:r>
          </w:p>
        </w:tc>
      </w:tr>
      <w:tr>
        <w:tc>
          <w:tcPr>
            <w:tcW w:type="dxa" w:w="380"/>
            <w:tcBorders>
              <w:top w:val="single" w:color="D0D8E4" w:sz="2"/>
              <w:left w:val="single" w:color="1D6FA8"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1D6FA8"/>
                <w:sz w:val="20"/>
                <w:szCs w:val="20"/>
              </w:rPr>
              <w:t xml:space="preserve">1</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[Product description — must match Quotation exactly]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 / TBC]</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[m² / pcs / set / CBM / kg]</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per unit / m² / set]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[Qty × Price / TBC]</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[For monument sets: list components here exactly as per Quotation]</w:t>
            </w:r>
          </w:p>
        </w:tc>
      </w:tr>
      <w:tr>
        <w:tc>
          <w:tcPr>
            <w:tcW w:type="dxa" w:w="9638"/>
            <w:gridSpan w:val="6"/>
            <w:tcBorders>
              <w:top w:val="none" w:color="auto" w:sz="0"/>
              <w:left w:val="single" w:color="1D6FA8" w:sz="18" w:space="0"/>
              <w:bottom w:val="none" w:color="auto" w:sz="0"/>
              <w:right w:val="single" w:color="D0D8E4" w:sz="2"/>
            </w:tcBorders>
            <w:shd w:fill="F1F5F9" w:val="clear"/>
            <w:tcMar>
              <w:top w:type="dxa" w:w="50"/>
              <w:left w:type="dxa" w:w="200"/>
              <w:bottom w:type="dxa" w:w="50"/>
              <w:right w:type="dxa" w:w="120"/>
            </w:tcMar>
          </w:tcPr>
          <w:p>
            <w:r>
              <w:rPr>
                <w:rFonts w:ascii="Aptos" w:cs="Aptos" w:eastAsia="Aptos" w:hAnsi="Aptos"/>
                <w:color w:val="333333"/>
                <w:sz w:val="17"/>
                <w:szCs w:val="17"/>
              </w:rPr>
              <w:t xml:space="preserve">[For slabs/blocks: delete spec rows]</w:t>
            </w:r>
          </w:p>
        </w:tc>
      </w:tr>
      <w:tr>
        <w:tc>
          <w:tcPr>
            <w:tcW w:type="dxa" w:w="9638"/>
            <w:gridSpan w:val="6"/>
            <w:tcBorders>
              <w:top w:val="none" w:color="auto" w:sz="0"/>
              <w:left w:val="single" w:color="1D6FA8"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1D6FA8"/>
                <w:sz w:val="17"/>
                <w:szCs w:val="17"/>
              </w:rPr>
              <w:t xml:space="preserve">1.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[L × W × H cm]</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[e.g., Mirror Polished]</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r>
        <w:tc>
          <w:tcPr>
            <w:tcW w:type="dxa" w:w="380"/>
            <w:tcBorders>
              <w:top w:val="single" w:color="D0D8E4" w:sz="2"/>
              <w:left w:val="single" w:color="2D7D56"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2D7D56"/>
                <w:sz w:val="20"/>
                <w:szCs w:val="20"/>
              </w:rPr>
              <w:t xml:space="preserve">2</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[Second product if applicable — delete if single product]</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[unit]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[price]</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[amount]</w:t>
            </w:r>
          </w:p>
        </w:tc>
      </w:tr>
      <w:tr>
        <w:tc>
          <w:tcPr>
            <w:tcW w:type="dxa" w:w="9638"/>
            <w:gridSpan w:val="6"/>
            <w:tcBorders>
              <w:top w:val="none" w:color="auto" w:sz="0"/>
              <w:left w:val="single" w:color="2D7D56"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2D7D56"/>
                <w:sz w:val="17"/>
                <w:szCs w:val="17"/>
              </w:rPr>
              <w:t xml:space="preserve">2.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[dimensions]</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[finish]</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color w:val="17233A"/>
                <w:sz w:val="19"/>
                <w:szCs w:val="19"/>
              </w:rPr>
              <w:t xml:space="preserve">[Product 1 description]  ([qty] [unit] × [unit price])</w:t>
            </w:r>
          </w:p>
        </w:tc>
        <w:tc>
          <w:tcPr>
            <w:tcW w:type="dxa" w:w="43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iCs/>
                <w:color w:val="5B6573"/>
                <w:sz w:val="19"/>
                <w:szCs w:val="19"/>
              </w:rPr>
              <w:t xml:space="preserve">[USD XXXXX.XX]</w:t>
            </w:r>
          </w:p>
        </w:tc>
      </w:tr>
      <w:tr>
        <w:tc>
          <w:tcPr>
            <w:tcW w:type="dxa" w:w="53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color w:val="17233A"/>
                <w:sz w:val="19"/>
                <w:szCs w:val="19"/>
              </w:rPr>
              <w:t xml:space="preserve">[Product 2 — delete if single product]</w:t>
            </w:r>
          </w:p>
        </w:tc>
        <w:tc>
          <w:tcPr>
            <w:tcW w:type="dxa" w:w="4338"/>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i/>
                <w:iCs/>
                <w:color w:val="5B6573"/>
                <w:sz w:val="19"/>
                <w:szCs w:val="19"/>
              </w:rPr>
              <w:t xml:space="preserve">[USD XXXXX.XX]</w:t>
            </w:r>
          </w:p>
        </w:tc>
      </w:tr>
      <w:tr>
        <w:tc>
          <w:tcPr>
            <w:tcW w:type="dxa" w:w="5300"/>
            <w:tcBorders>
              <w:top w:val="single" w:color="D0D8E4" w:sz="2"/>
              <w:left w:val="single" w:color="D0D8E4" w:sz="2"/>
              <w:bottom w:val="single" w:color="D0D8E4" w:sz="2"/>
              <w:right w:val="single" w:color="D0D8E4" w:sz="2"/>
            </w:tcBorders>
            <w:shd w:fill="17233A" w:val="clear"/>
            <w:tcMar>
              <w:top w:type="dxa" w:w="80"/>
              <w:left w:type="dxa" w:w="160"/>
              <w:bottom w:type="dxa" w:w="80"/>
              <w:right w:type="dxa" w:w="160"/>
            </w:tcMar>
          </w:tcPr>
          <w:p>
            <w:pPr>
              <w:jc w:val="right"/>
            </w:pPr>
            <w:r>
              <w:rPr>
                <w:rFonts w:ascii="Aptos" w:cs="Aptos" w:eastAsia="Aptos" w:hAnsi="Aptos"/>
                <w:b/>
                <w:bCs/>
                <w:color w:val="FFFFFF"/>
                <w:sz w:val="21"/>
                <w:szCs w:val="21"/>
              </w:rPr>
              <w:t xml:space="preserve">TOTAL PI VALUE (USD) *</w:t>
            </w:r>
          </w:p>
        </w:tc>
        <w:tc>
          <w:tcPr>
            <w:tcW w:type="dxa" w:w="4338"/>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60"/>
            </w:tcMar>
          </w:tcPr>
          <w:p>
            <w:pPr>
              <w:jc w:val="right"/>
            </w:pPr>
            <w:r>
              <w:rPr>
                <w:rFonts w:ascii="Aptos" w:cs="Aptos" w:eastAsia="Aptos" w:hAnsi="Aptos"/>
                <w:b/>
                <w:bCs/>
                <w:i w:val="false"/>
                <w:iCs w:val="false"/>
                <w:color w:val="FFFFFF"/>
                <w:sz w:val="21"/>
                <w:szCs w:val="21"/>
              </w:rPr>
              <w:t xml:space="preserve">[Sum of all lines above]</w:t>
            </w:r>
          </w:p>
        </w:tc>
      </w:tr>
    </w:tbl>
    <w:p>
      <w:pPr>
        <w:spacing w:after="80" w:before="0"/>
      </w:pPr>
    </w:p>
    <w:p>
      <w:pPr>
        <w:spacing w:after="60"/>
      </w:pPr>
      <w:r>
        <w:rPr>
          <w:rFonts w:ascii="Aptos" w:cs="Aptos" w:eastAsia="Aptos" w:hAnsi="Aptos"/>
          <w:b/>
          <w:bCs/>
          <w:color w:val="17233A"/>
          <w:sz w:val="19"/>
          <w:szCs w:val="19"/>
        </w:rPr>
        <w:t xml:space="preserve">Remark:</w:t>
      </w:r>
      <w:r>
        <w:rPr>
          <w:rFonts w:ascii="Aptos" w:cs="Aptos" w:eastAsia="Aptos" w:hAnsi="Aptos"/>
          <w:i/>
          <w:iCs/>
          <w:color w:val="5B6573"/>
          <w:sz w:val="19"/>
          <w:szCs w:val="19"/>
        </w:rPr>
        <w:t xml:space="preserve">   Loading quantity subject to final packing confirmation.</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FOB Value (USD) *</w:t>
            </w:r>
            <w:r>
              <w:rPr>
                <w:rFonts w:ascii="Aptos" w:cs="Aptos" w:eastAsia="Aptos" w:hAnsi="Aptos"/>
                <w:b/>
                <w:bCs/>
                <w:color w:val="C0392B"/>
                <w:sz w:val="19"/>
                <w:szCs w:val="19"/>
              </w:rPr>
              <w:t xml:space="preserve"> *</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iCs/>
                <w:color w:val="5B6573"/>
                <w:sz w:val="18"/>
                <w:szCs w:val="18"/>
              </w:rPr>
              <w:t xml:space="preserve">[Sum of all product line amounts above — must match Quotation]</w:t>
            </w:r>
            <w:r>
              <w:rPr>
                <w:rFonts w:ascii="Aptos" w:cs="Aptos" w:eastAsia="Aptos" w:hAnsi="Aptos"/>
                <w:b/>
                <w:bCs/>
                <w:color w:val="C0392B"/>
                <w:sz w:val="19"/>
                <w:szCs w:val="19"/>
              </w:rPr>
              <w:t xml:space="preserve"> *</w:t>
            </w:r>
          </w:p>
        </w:tc>
      </w:tr>
      <w:tr>
        <w:tc>
          <w:tcPr>
            <w:tcW w:type="dxa" w:w="559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Freight (USD)</w:t>
            </w:r>
          </w:p>
        </w:tc>
        <w:tc>
          <w:tcPr>
            <w:tcW w:type="dxa" w:w="4048"/>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 NIL — freight arranged by buyer.
CFR/CIF: Indicative approx. USD [XXX–XXX] per 20ft FCL, Chennai to [Port of Discharge]. Subject to confirmation at time of booking. Actual freight confirmed and recovered IN ADVANCE by separate Debit Note when cargo is packed and ready — payment required within 3 Calendar Days, and must be received BEFORE shipment booking is confirmed.</w:t>
            </w:r>
          </w:p>
        </w:tc>
      </w:tr>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Insurance (USD)</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FOB/CFR: NIL — buyer's responsibility.
CIF: Indicative approx. USD [XX–XX]. Confirmed by Debit Note when cargo is ready.</w:t>
            </w:r>
          </w:p>
        </w:tc>
      </w:tr>
      <w:tr>
        <w:tc>
          <w:tcPr>
            <w:tcW w:type="dxa" w:w="5590"/>
            <w:tcBorders>
              <w:top w:val="single" w:color="D0D8E4" w:sz="2"/>
              <w:left w:val="single" w:color="D0D8E4" w:sz="2"/>
              <w:bottom w:val="single" w:color="D0D8E4" w:sz="2"/>
              <w:right w:val="single" w:color="D0D8E4" w:sz="2"/>
            </w:tcBorders>
            <w:shd w:fill="17233A" w:val="clear"/>
            <w:tcMar>
              <w:top w:type="dxa" w:w="80"/>
              <w:left w:type="dxa" w:w="160"/>
              <w:bottom w:type="dxa" w:w="80"/>
              <w:right w:type="dxa" w:w="160"/>
            </w:tcMar>
          </w:tcPr>
          <w:p>
            <w:pPr>
              <w:jc w:val="right"/>
            </w:pPr>
            <w:r>
              <w:rPr>
                <w:rFonts w:ascii="Aptos" w:cs="Aptos" w:eastAsia="Aptos" w:hAnsi="Aptos"/>
                <w:b/>
                <w:bCs/>
                <w:color w:val="FFFFFF"/>
                <w:sz w:val="21"/>
                <w:szCs w:val="21"/>
              </w:rPr>
              <w:t xml:space="preserve">TOTAL PI VALUE (USD) *</w:t>
            </w:r>
          </w:p>
        </w:tc>
        <w:tc>
          <w:tcPr>
            <w:tcW w:type="dxa" w:w="4048"/>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60"/>
            </w:tcMar>
          </w:tcPr>
          <w:p>
            <w:pPr>
              <w:jc w:val="right"/>
            </w:pPr>
            <w:r>
              <w:rPr>
                <w:rFonts w:ascii="Aptos" w:cs="Aptos" w:eastAsia="Aptos" w:hAnsi="Aptos"/>
                <w:b/>
                <w:bCs/>
                <w:i/>
                <w:iCs/>
                <w:color w:val="FFFFFF"/>
                <w:sz w:val="21"/>
                <w:szCs w:val="21"/>
              </w:rPr>
              <w:t xml:space="preserve">[FOB + Freight + Insurance as applicable — must match Quotation total]</w:t>
            </w:r>
          </w:p>
        </w:tc>
      </w:tr>
    </w:tbl>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b/>
                <w:color w:val="633806"/>
                <w:sz w:val="19"/>
              </w:rPr>
              <w:t xml:space="preserve">ADVANCE PAYABLE NOW:  </w:t>
            </w:r>
            <w:r>
              <w:rPr>
                <w:b/>
                <w:color w:val="412402"/>
                <w:sz w:val="22"/>
              </w:rPr>
              <w:t xml:space="preserve">USD [XXXXX.XX  =  FOB Value × 0.40]  </w:t>
            </w:r>
            <w:r>
              <w:rPr>
                <w:b/>
                <w:color w:val="633806"/>
                <w:sz w:val="19"/>
              </w:rPr>
              <w:t>(40% of FOB value) — due by [PI Valid Until date]</w:t>
            </w:r>
          </w:p>
          <w:p>
            <w:r>
              <w:rPr>
                <w:i/>
                <w:color w:val="854F0B"/>
                <w:sz w:val="17"/>
              </w:rPr>
              <w:t>Balance USD [XXXXX.XX  =  FOB Value minus 40% advance] — not payable now. Payable before shipment — within 3 Calendar Days of receiving Shipment Readiness Confirmation from NexaCrest. Freight &amp; insurance (CFR/CIF orders only) are paid separately against our Debit Note.</w:t>
            </w:r>
          </w:p>
          <w:p>
            <w:r>
              <w:rPr>
                <w:b/>
                <w:color w:val="633806"/>
                <w:sz w:val="17"/>
              </w:rPr>
              <w:t xml:space="preserve">Bank charges: </w:t>
            </w:r>
            <w:r>
              <w:rPr>
                <w:b/>
                <w:color w:val="854F0B"/>
                <w:sz w:val="17"/>
              </w:rPr>
              <w:t>All bank charges outside India are for the Buyer's account — please remit the full amount (charges option "OUR").</w:t>
            </w:r>
          </w:p>
        </w:tc>
      </w:tr>
    </w:tbl>
    <w:p>
      <w:pPr>
        <w:spacing w:after="160" w:before="0"/>
      </w:pPr>
    </w:p>
    <w:p>
      <w:pPr>
        <w:spacing w:after="80"/>
      </w:pPr>
      <w:r>
        <w:rPr>
          <w:rFonts w:ascii="Aptos" w:cs="Aptos" w:eastAsia="Aptos" w:hAnsi="Aptos"/>
          <w:b/>
          <w:bCs/>
          <w:color w:val="17233A"/>
          <w:sz w:val="21"/>
          <w:szCs w:val="21"/>
        </w:rPr>
        <w:t xml:space="preserve">Weight &amp; Volume  </w:t>
      </w:r>
      <w:r>
        <w:rPr>
          <w:rFonts w:ascii="Aptos" w:cs="Aptos" w:eastAsia="Aptos" w:hAnsi="Aptos"/>
          <w:i/>
          <w:iCs/>
          <w:color w:val="5B6573"/>
          <w:sz w:val="18"/>
          <w:szCs w:val="18"/>
        </w:rPr>
        <w:t xml:space="preserve">(Estimated — actuals confirmed on Packing List after production and packing)</w:t>
      </w: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4000"/>
        <w:gridCol w:w="4038"/>
        <w:gridCol w:w="1600"/>
      </w:tblGrid>
      <w:tr>
        <w:tc>
          <w:tcPr>
            <w:tcW w:type="dxa" w:w="40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Parameter</w:t>
            </w:r>
          </w:p>
        </w:tc>
        <w:tc>
          <w:tcPr>
            <w:tcW w:type="dxa" w:w="4038"/>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Estimated Value *</w:t>
            </w:r>
          </w:p>
        </w:tc>
        <w:tc>
          <w:tcPr>
            <w:tcW w:type="dxa" w:w="16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Unit</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Total CBM (m³)</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10.08]</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m³</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Gross Weight (incl. packing)</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[e.g., 24,000]</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Net Weight (stone only)</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22,000]</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No. of Packages / Crates</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TBD at packing</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Crates</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Package Type</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Wooden Crates</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SHIPPING / COMMERCIAL TERMS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b/>
                <w:bCs/>
                <w:sz w:val="19"/>
                <w:szCs w:val="19"/>
              </w:rPr>
              <w:t xml:space="preserve">FOB Chennai, India — Incoterms® 2020</w:t>
            </w:r>
            <w:r>
              <w:rPr>
                <w:rFonts w:ascii="Aptos" w:cs="Aptos" w:eastAsia="Aptos" w:hAnsi="Aptos"/>
                <w:i/>
                <w:iCs/>
                <w:color w:val="5B6573"/>
                <w:sz w:val="18"/>
                <w:szCs w:val="18"/>
              </w:rPr>
              <w:t xml:space="preserve">  [or CFR / CIF Named Port — Incoterms® 2020]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destination port  /  destination port  /  destination port — must match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Place of Pre-Carriage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[Factory / warehouse location where container is stuffed]</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Container Type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[1 × 20ft FCL  /  1 × 40ft FCL]</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Est. Shipment Date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within 4–6 weeks from advance payment clearance date]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Insurance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i/>
                <w:iCs/>
                <w:color w:val="5B6573"/>
                <w:sz w:val="19"/>
                <w:szCs w:val="19"/>
              </w:rPr>
              <w:t>FOB: Buyer’s responsibility. CIF: Seller arranges — actual freight and insurance cost confirmed and recovered in full in advance by separate Debit Note before shipment booking is confirmed. Full payment required within 3 Calendar Days of Debit Note date and must be confirmed as Payment Cleared before shipment booking is confirmed. Not included in this document value.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PAYMENT TERMS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 40% Advance Payment on FOB Value against this document.  </w:t>
            </w:r>
            <w:r>
              <w:rPr>
                <w:rFonts w:ascii="Aptos" w:cs="Aptos" w:eastAsia="Aptos" w:hAnsi="Aptos"/>
                <w:b/>
                <w:bCs/>
                <w:color w:val="C0392B"/>
                <w:sz w:val="19"/>
                <w:szCs w:val="19"/>
              </w:rPr>
              <w:t xml:space="preserve">*</w:t>
            </w:r>
          </w:p>
          <w:p>
            <w:pPr>
              <w:spacing w:after="100"/>
            </w:pPr>
            <w:r>
              <w:rPr>
                <w:rFonts w:ascii="Aptos" w:cs="Aptos" w:eastAsia="Aptos" w:hAnsi="Aptos"/>
                <w:color w:val="333333"/>
                <w:sz w:val="19"/>
                <w:szCs w:val="19"/>
              </w:rPr>
              <w:t xml:space="preserve">  40% Advance Amount:   USD [XXXXX.XX  =  FOB Value × 0.40]  </w:t>
            </w:r>
            <w:r>
              <w:rPr>
                <w:rFonts w:ascii="Aptos" w:cs="Aptos" w:eastAsia="Aptos" w:hAnsi="Aptos"/>
                <w:b/>
                <w:bCs/>
                <w:color w:val="C0392B"/>
                <w:sz w:val="19"/>
                <w:szCs w:val="19"/>
              </w:rPr>
              <w:t xml:space="preserve">*</w:t>
            </w:r>
          </w:p>
          <w:p>
            <w:pPr>
              <w:spacing w:after="80"/>
            </w:pPr>
            <w:r>
              <w:rPr>
                <w:rFonts w:ascii="Aptos" w:cs="Aptos" w:eastAsia="Aptos" w:hAnsi="Aptos"/>
                <w:b/>
                <w:bCs/>
                <w:sz w:val="19"/>
                <w:szCs w:val="19"/>
              </w:rPr>
              <w:t xml:space="preserve">• 60% Balance Payment on FOB Value payable before shipment — within 3 Calendar Days of receiving shipment readiness confirmation from NexaCrest.  </w:t>
            </w:r>
            <w:r>
              <w:rPr>
                <w:rFonts w:ascii="Aptos" w:cs="Aptos" w:eastAsia="Aptos" w:hAnsi="Aptos"/>
                <w:b/>
                <w:bCs/>
                <w:color w:val="C0392B"/>
                <w:sz w:val="19"/>
                <w:szCs w:val="19"/>
              </w:rPr>
              <w:t xml:space="preserve">*</w:t>
            </w:r>
          </w:p>
          <w:p>
            <w:pPr>
              <w:spacing w:after="100"/>
            </w:pPr>
            <w:r>
              <w:rPr>
                <w:rFonts w:ascii="Aptos" w:cs="Aptos" w:eastAsia="Aptos" w:hAnsi="Aptos"/>
                <w:color w:val="333333"/>
                <w:sz w:val="19"/>
                <w:szCs w:val="19"/>
              </w:rPr>
              <w:t xml:space="preserve">  60% Balance Amount:   USD [XXXXX.XX  =  FOB Value minus 40% advance received]  </w:t>
            </w:r>
            <w:r>
              <w:rPr>
                <w:rFonts w:ascii="Aptos" w:cs="Aptos" w:eastAsia="Aptos" w:hAnsi="Aptos"/>
                <w:b/>
                <w:bCs/>
                <w:color w:val="C0392B"/>
                <w:sz w:val="19"/>
                <w:szCs w:val="19"/>
              </w:rPr>
              <w:t xml:space="preserve">*</w:t>
            </w:r>
          </w:p>
          <w:p>
            <w:pPr>
              <w:spacing w:after="80"/>
            </w:pPr>
            <w:r>
              <w:rPr>
                <w:rFonts w:ascii="Aptos" w:cs="Aptos" w:eastAsia="Aptos" w:hAnsi="Aptos"/>
                <w:b/>
                <w:bCs/>
                <w:sz w:val="19"/>
                <w:szCs w:val="19"/>
              </w:rPr>
              <w:t xml:space="preserve">• Freight &amp; Insurance (CFR/CIF orders only): </w:t>
            </w:r>
            <w:r>
              <w:rPr>
                <w:rFonts w:ascii="Aptos" w:cs="Aptos" w:eastAsia="Aptos" w:hAnsi="Aptos"/>
                <w:color w:val="333333"/>
                <w:sz w:val="19"/>
                <w:szCs w:val="19"/>
              </w:rPr>
              <w:t xml:space="preserve">Actual confirmed amounts invoiced separately by Debit Note before shipment booking is confirmed. Payment required within 3 Calendar Days of Debit Note date.</w:t>
            </w:r>
          </w:p>
          <w:p>
            <w:r>
              <w:rPr>
                <w:rFonts w:ascii="Aptos" w:cs="Aptos" w:eastAsia="Aptos" w:hAnsi="Aptos"/>
                <w:b/>
                <w:bCs/>
                <w:sz w:val="19"/>
                <w:szCs w:val="19"/>
              </w:rPr>
              <w:t xml:space="preserve">  Currency: USD</w:t>
            </w:r>
          </w:p>
          <w:p>
            <w:r>
              <w:rPr>
                <w:rFonts w:ascii="Aptos" w:cs="Aptos" w:eastAsia="Aptos" w:hAnsi="Aptos"/>
                <w:bCs/>
                <w:sz w:val="19"/>
                <w:szCs w:val="19"/>
              </w:rPr>
              <w:t>• The order is confirmed, and production starts, only once the advance is received in our account as cleared funds.</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BANK DETAILS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Holder</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State Bank of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Branch</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Start Up Hub Branch, Koramangala, Bengaluru</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No.</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44523788330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IFSC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SBIN0064074</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SWIFT / BIC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SBININBB949</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 Address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1st Floor, 117, 7th Block Industrial Layout,
Koramangala, Bengaluru – 560095,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Reference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color w:val="185FA5"/>
                <w:sz w:val="19"/>
                <w:szCs w:val="19"/>
              </w:rPr>
              <w:t xml:space="preserve">Please quote PI No. [SC/PI/YYYY/DDMMNNN] in your T/T remarks.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RBI Purpose Code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 xml:space="preserve">P0103 — Advance Payment | P0102 — Balance Payment | P0602 — Freight/Insurance Recovery | P1022 — Inspection/Certificate Fees | P0214 — Port/Demurrage Recovery | P0701 — Bank Charge Recovery | P1099 — Any Other Export-Related Charge
Enter the applicable code in the "Purpose of Remittance" field of your T/T form. Purpose codes are indicative — confirm with your bank at time of remittance.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9. EXPORT DOCUMENTATION</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Upon shipment, the following documents will be provided:</w:t>
            </w:r>
          </w:p>
          <w:p>
            <w:pPr>
              <w:spacing w:after="60"/>
            </w:pPr>
            <w:r>
              <w:rPr>
                <w:rFonts w:ascii="Aptos" w:cs="Aptos" w:eastAsia="Aptos" w:hAnsi="Aptos"/>
                <w:sz w:val="19"/>
                <w:szCs w:val="19"/>
              </w:rPr>
              <w:t xml:space="preserve">1.  Commercial Invoice (digitally authorised)</w:t>
            </w:r>
          </w:p>
          <w:p>
            <w:pPr>
              <w:spacing w:after="60"/>
            </w:pPr>
            <w:r>
              <w:rPr>
                <w:rFonts w:ascii="Aptos" w:cs="Aptos" w:eastAsia="Aptos" w:hAnsi="Aptos"/>
                <w:sz w:val="19"/>
                <w:szCs w:val="19"/>
              </w:rPr>
              <w:t xml:space="preserve">2.  Packing List (digitally authorised)</w:t>
            </w:r>
          </w:p>
          <w:p>
            <w:pPr>
              <w:spacing w:after="60"/>
            </w:pPr>
            <w:r>
              <w:rPr>
                <w:rFonts w:ascii="Aptos" w:cs="Aptos" w:eastAsia="Aptos" w:hAnsi="Aptos"/>
                <w:sz w:val="19"/>
                <w:szCs w:val="19"/>
              </w:rPr>
              <w:t xml:space="preserve">3.  Certificate of Origin — GSP Form A (preferential) or Non-preferential, as confirmed by buyer  |  Issued by CAPEXIL</w:t>
            </w:r>
          </w:p>
          <w:p>
            <w:pPr>
              <w:spacing w:after="60"/>
            </w:pPr>
            <w:r>
              <w:rPr>
                <w:rFonts w:ascii="Aptos" w:cs="Aptos" w:eastAsia="Aptos" w:hAnsi="Aptos"/>
                <w:sz w:val="19"/>
                <w:szCs w:val="19"/>
              </w:rPr>
              <w:t xml:space="preserve">4.  Bill of Lading — 3 originals issued by the shipping line | 2 originals couriered to Buyer within 3 Working Days of Balance Payment being confirmed as Payment Cleared | 1 original retained by NexaCrest in NexaCrest bank account</w:t>
            </w:r>
          </w:p>
          <w:p>
            <w:r>
              <w:rPr>
                <w:rFonts w:ascii="Aptos" w:cs="Aptos" w:eastAsia="Aptos" w:hAnsi="Aptos"/>
                <w:sz w:val="19"/>
                <w:szCs w:val="19"/>
              </w:rPr>
              <w:t xml:space="preserve">5.  Fumigation Certificate — provided as standard with every shipment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10. TERMS &amp; CONDITIONS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r>
              <w:rPr>
                <w:rFonts w:ascii="Aptos" w:cs="Aptos" w:eastAsia="Aptos" w:hAnsi="Aptos"/>
                <w:b/>
                <w:bCs/>
                <w:color w:val="8A1F1F"/>
                <w:sz w:val="20"/>
                <w:szCs w:val="20"/>
              </w:rPr>
              <w:t xml:space="preserve">⚠  Annexure A — Product Technical Specifications is attached and forms an integral part of this Proforma Invoice. Refer Annexure A for product images, technical drawings, and component dimensions.</w:t>
            </w:r>
          </w:p>
        </w:tc>
      </w:tr>
    </w:tbl>
    <w:p>
      <w:pPr>
        <w:spacing w:after="12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sz w:val="19"/>
                <w:szCs w:val="19"/>
              </w:rPr>
              <w:t xml:space="preserve">• All prices are in USD. FOB Chennai, India unless otherwise stated.</w:t>
            </w:r>
          </w:p>
          <w:p>
            <w:pPr>
              <w:spacing w:after="80"/>
            </w:pPr>
            <w:r>
              <w:rPr>
                <w:rFonts w:ascii="Aptos" w:cs="Aptos" w:eastAsia="Aptos" w:hAnsi="Aptos"/>
                <w:sz w:val="19"/>
                <w:szCs w:val="19"/>
              </w:rPr>
              <w:t xml:space="preserve">• CFR / CIF orders: freight and insurance shown above are indicative at PI stage. Actual freight will be confirmed once cargo is packed and ready, and recovered IN ADVANCE by Debit Note — payable within 3 Calendar Days of issue, and must be received BEFORE shipment booking is confirmed. NexaCrest cannot book the container or hand over cargo to the shipping line until freight payment is received. Freight payment may occur before or simultaneously with the 60% Balance Payment.</w:t>
            </w:r>
          </w:p>
          <w:p>
            <w:pPr>
              <w:spacing w:after="80"/>
            </w:pPr>
            <w:r>
              <w:rPr>
                <w:rFonts w:ascii="Aptos" w:cs="Aptos" w:eastAsia="Aptos" w:hAnsi="Aptos"/>
                <w:sz w:val="19"/>
                <w:szCs w:val="19"/>
              </w:rPr>
              <w:t xml:space="preserve">• Weight, CBM, and number of crates are estimates. Actuals will be confirmed on the Packing List after production and packing.</w:t>
            </w:r>
          </w:p>
          <w:p>
            <w:pPr>
              <w:spacing w:after="80"/>
            </w:pPr>
            <w:r>
              <w:rPr>
                <w:rFonts w:ascii="Aptos" w:cs="Aptos" w:eastAsia="Aptos" w:hAnsi="Aptos"/>
                <w:sz w:val="19"/>
                <w:szCs w:val="19"/>
              </w:rPr>
              <w:t xml:space="preserve">• Actual quantity shipped will not exceed the ordered quantity. Where actual shipped quantity differs from PI quantity due to production tolerance, NexaCrest will issue a revised Commercial Invoice reflecting actual quantity. The PI serves as the basis for advance payment only; final settlement is on actual shipped quantity. Minor shortfall within natural granite tolerance may occur and will be invoiced at actuals shipped.</w:t>
            </w:r>
          </w:p>
          <w:p>
            <w:pPr>
              <w:spacing w:after="80"/>
            </w:pPr>
            <w:r>
              <w:rPr>
                <w:rFonts w:ascii="Aptos" w:cs="Aptos" w:eastAsia="Aptos" w:hAnsi="Aptos"/>
                <w:sz w:val="19"/>
                <w:szCs w:val="19"/>
              </w:rPr>
              <w:t xml:space="preserve">• This Proforma Invoice is valid for 15 days from date of issue. After this date, prices and terms are subject to revision. Buyer must notify NexaCrest of acceptance and initiate the 40% advance payment within this period.</w:t>
            </w:r>
          </w:p>
          <w:p>
            <w:pPr>
              <w:spacing w:after="80"/>
            </w:pPr>
            <w:r>
              <w:rPr>
                <w:rFonts w:ascii="Aptos" w:cs="Aptos" w:eastAsia="Aptos" w:hAnsi="Aptos"/>
                <w:sz w:val="19"/>
                <w:szCs w:val="19"/>
              </w:rPr>
              <w:t xml:space="preserve">• Production commences only after the 40% Advance Payment is confirmed as Payment Cleared in NexaCrest's bank account. Remittance copy alone does not constitute Remittance Copy. Please allow 1–2 banking days for clearance confirmation. This is an estimate only — NexaCrest will notify Buyer as soon as Payment Cleared is confirmed.</w:t>
            </w:r>
          </w:p>
          <w:p>
            <w:pPr>
              <w:spacing w:after="80"/>
            </w:pPr>
            <w:r>
              <w:rPr>
                <w:rFonts w:ascii="Aptos" w:cs="Aptos" w:eastAsia="Aptos" w:hAnsi="Aptos"/>
                <w:sz w:val="19"/>
                <w:szCs w:val="19"/>
              </w:rPr>
              <w:t xml:space="preserve">• Import Clearance &amp; Destination Charges: Unless expressly stated otherwise under the agreed Incoterm, the buyer is solely responsible for import customs clearance, import duties, taxes, VAT, permits, licences and all destination-country charges. NexaCrest bears no responsibility for destination-side costs or delays.</w:t>
            </w:r>
          </w:p>
          <w:p>
            <w:pPr>
              <w:spacing w:after="80"/>
            </w:pPr>
            <w:r>
              <w:rPr>
                <w:rFonts w:ascii="Aptos" w:cs="Aptos" w:eastAsia="Aptos" w:hAnsi="Aptos"/>
                <w:sz w:val="19"/>
                <w:szCs w:val="19"/>
              </w:rPr>
              <w:t xml:space="preserve">• Natural Stone Characteristics: All granite supplied is Grade A quality, selected for colour consistency. As with all natural stone, minor variation in shade, grain and veining may occur between pieces — however, Natural variation inherent to natural stone including colour, veining, and texture is not a defect. Any claim of colour non-conformance must be assessed against the agreed pre-shipment sample approved by the Buyer in writing prior to Loading. In the absence of an approved pre-shipment sample, the Buyer accepts all colour variation inherent to natural stone.. Products will conform to the agreed specification.</w:t>
            </w:r>
          </w:p>
          <w:p>
            <w:pPr>
              <w:spacing w:after="80"/>
            </w:pPr>
            <w:r>
              <w:rPr>
                <w:rFonts w:ascii="Aptos" w:cs="Aptos" w:eastAsia="Aptos" w:hAnsi="Aptos"/>
                <w:sz w:val="19"/>
                <w:szCs w:val="19"/>
              </w:rPr>
              <w:t xml:space="preserve">• Quantity Tolerance: Actual quantity shipped will not exceed the ordered quantity. Where actual shipped quantity differs from PI quantity due to production tolerance, NexaCrest will issue a revised Commercial Invoice reflecting actual quantity. The PI serves as the basis for advance payment only; final settlement is on actual shipped quantity. A shortfall of up to 5% may occur and will be invoiced at actual quantity shipped. Buyer will be notified in writing before shipment of any shortfall. A shortfall exceeding 5% requires buyer's written approval before shipment.</w:t>
            </w:r>
          </w:p>
          <w:p>
            <w:pPr>
              <w:spacing w:after="80"/>
            </w:pPr>
            <w:r>
              <w:rPr>
                <w:rFonts w:ascii="Aptos" w:cs="Aptos" w:eastAsia="Aptos" w:hAnsi="Aptos"/>
                <w:sz w:val="19"/>
                <w:szCs w:val="19"/>
              </w:rPr>
              <w:t xml:space="preserve">• Import Clearance &amp; Destination Charges: Unless expressly stated otherwise under the agreed Incoterm, the buyer is solely responsible for import customs clearance, import duties, taxes, VAT, permits, licences and all destination-country charges. NexaCrest bears no responsibility for destination-side costs or delays.</w:t>
            </w:r>
          </w:p>
          <w:p>
            <w:pPr>
              <w:spacing w:after="80"/>
            </w:pPr>
            <w:r>
              <w:rPr>
                <w:rFonts w:ascii="Aptos" w:cs="Aptos" w:eastAsia="Aptos" w:hAnsi="Aptos"/>
                <w:sz w:val="19"/>
                <w:szCs w:val="19"/>
              </w:rPr>
              <w:t>• PAYMENT TERMS FINALITY: 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NexaCrest's formal Payment Terms Amendment document, signed by authorised representatives of both parties before the amendment takes effect.</w:t>
            </w:r>
          </w:p>
          <w:p>
            <w:pPr>
              <w:spacing w:after="80"/>
            </w:pPr>
            <w:r>
              <w:rPr>
                <w:rFonts w:ascii="Aptos" w:cs="Aptos" w:eastAsia="Aptos" w:hAnsi="Aptos"/>
                <w:sz w:val="19"/>
                <w:szCs w:val="19"/>
              </w:rPr>
              <w:t xml:space="preserve">• DISPUTE RESOLUTION &amp; PUBLIC COMMUNICATIONS: 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sz w:val="19"/>
                <w:szCs w:val="19"/>
              </w:rPr>
              <w:t xml:space="preserve">• ACCEPTANCE &amp; ORDER OF PRECEDENCE: 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w:t>
            </w:r>
          </w:p>
          <w:p>
            <w:pPr>
              <w:spacing w:after="80"/>
            </w:pPr>
            <w:r>
              <w:rPr>
                <w:rFonts w:ascii="Aptos" w:cs="Aptos" w:eastAsia="Aptos" w:hAnsi="Aptos"/>
                <w:sz w:val="19"/>
                <w:szCs w:val="19"/>
              </w:rPr>
              <w:t xml:space="preserve">• Partial Shipment: Not permitted. NexaCrest ships complete orders only — minimum one full FCL. Mixed-product containers (multiple products in one FCL) are permitted.</w:t>
            </w:r>
          </w:p>
          <w:p>
            <w:pPr>
              <w:spacing w:after="0"/>
            </w:pPr>
            <w:r>
              <w:rPr>
                <w:rFonts w:ascii="Aptos" w:cs="Aptos" w:eastAsia="Aptos" w:hAnsi="Aptos"/>
                <w:sz w:val="19"/>
                <w:szCs w:val="19"/>
              </w:rPr>
              <w:t xml:space="preserve">• Shipment Booking (CFR/CIF): Shipment booking will be confirmed only after full freight and insurance payment is confirmed as Payment Cleared in NexaCrest's bank account against the Debit Note. NexaCrest cannot book the container or hand over cargo to the shipping line until freight payment is verified.</w:t>
            </w:r>
          </w:p>
        </w:tc>
      </w:tr>
    </w:tbl>
    <w:p>
      <w:pPr>
        <w:spacing w:after="30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11.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pStyle w:val="Normal"/>
              <w:spacing w:before="0" w:after="60"/>
            </w:pPr>
            <w:r>
              <w:rPr>
                <w:rFonts w:ascii="Aptos" w:cs="Aptos" w:eastAsia="Aptos" w:hAnsi="Aptos"/>
                <w:sz w:val="18"/>
                <w:szCs w:val="18"/>
                <w:color w:val="17233A"/>
                <w:b/>
                <w:bCs/>
              </w:rPr>
              <w:t xml:space="preserve">• Bill of Lading Policy: </w:t>
            </w:r>
            <w:r>
              <w:rPr>
                <w:rFonts w:ascii="Aptos" w:cs="Aptos" w:eastAsia="Aptos" w:hAnsi="Aptos"/>
                <w:sz w:val="18"/>
                <w:szCs w:val="18"/>
                <w:color w:val="000000"/>
              </w:rPr>
              <w:t xml:space="preserve">NexaCrest issues all shipments with the Bill of Lading consigned “To Order of NexaCrest International Private Limited”. This is NexaCrest company policy and cannot be changed under any circumstances. Original BLs are released to the Buyer only after Balance Payment is confirmed as Payment Cleared in NexaCrest’s designated bank account.</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is expressly excluded from this Agreement.</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2026-09-17T06:44:27.322Z</dcterms:created>
  <dcterms:modified xsi:type="dcterms:W3CDTF">2026-09-17T06:44:27.322Z</dcterms:modified>
</cp:coreProperties>
</file>

<file path=docProps/custom.xml><?xml version="1.0" encoding="utf-8"?>
<Properties xmlns="http://schemas.openxmlformats.org/officeDocument/2006/custom-properties" xmlns:vt="http://schemas.openxmlformats.org/officeDocument/2006/docPropsVTypes"/>
</file>