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500" w:after="200"/>
        <w:jc w:val="center"/>
        <w:rPr/>
      </w:pPr>
      <w:r>
        <w:rPr>
          <w:rFonts w:ascii="Aptos Display" w:hAnsi="Aptos Display"/>
          <w:b/>
          <w:color w:val="1F4E79"/>
          <w:sz w:val="28"/>
        </w:rPr>
        <w:t>NEXACREST INTERNATIONAL</w:t>
      </w:r>
    </w:p>
    <w:p>
      <w:pPr>
        <w:pStyle w:val="Title"/>
        <w:jc w:val="center"/>
        <w:rPr/>
      </w:pPr>
      <w:r>
        <w:rPr/>
        <w:t>Export Order Application</w:t>
        <w:br/>
        <w:t>Workflow Specification</w:t>
      </w:r>
    </w:p>
    <w:p>
      <w:pPr>
        <w:pStyle w:val="Normal"/>
        <w:jc w:val="center"/>
        <w:rPr/>
      </w:pPr>
      <w:r>
        <w:rPr>
          <w:color w:val="595959"/>
          <w:sz w:val="22"/>
        </w:rPr>
        <w:t>Functional sequence, status transitions, conditional branches and email notifications</w:t>
      </w:r>
    </w:p>
    <w:p>
      <w:pPr>
        <w:pStyle w:val="Normal"/>
        <w:rPr/>
      </w:pPr>
      <w:r>
        <w:rPr/>
      </w:r>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shd w:fill="D9EA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Document purpose</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Define the export order workflow for arranging and configuring the existing application.</w:t>
            </w:r>
          </w:p>
        </w:tc>
      </w:tr>
      <w:tr>
        <w:trPr/>
        <w:tc>
          <w:tcPr>
            <w:tcW w:w="5112" w:type="dxa"/>
            <w:tcBorders/>
            <w:shd w:fill="D9EA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Audience</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Business owner, application developer, QA/tester and internal operations team.</w:t>
            </w:r>
          </w:p>
        </w:tc>
      </w:tr>
      <w:tr>
        <w:trPr/>
        <w:tc>
          <w:tcPr>
            <w:tcW w:w="5112" w:type="dxa"/>
            <w:tcBorders/>
            <w:shd w:fill="D9EA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Scope</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From quotation details intake through shipment, client closure and final internal closure.</w:t>
            </w:r>
          </w:p>
        </w:tc>
      </w:tr>
      <w:tr>
        <w:trPr/>
        <w:tc>
          <w:tcPr>
            <w:tcW w:w="5112" w:type="dxa"/>
            <w:tcBorders/>
            <w:shd w:fill="D9EA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Status</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Draft for workflow finalisation before application configuration. Updated 27 Oct 2026: decisions already made by the owner and built into the application are recorded in section 14. Updated 30 Oct 2026: the decisions made since are in section 15, and section 16 shows where each step of this specification is in the application.</w:t>
            </w:r>
          </w:p>
        </w:tc>
      </w:tr>
    </w:tbl>
    <w:p>
      <w:pPr>
        <w:pStyle w:val="Normal"/>
        <w:rPr/>
      </w:pPr>
      <w:r>
        <w:rPr/>
      </w:r>
      <w:r>
        <w:br w:type="page"/>
      </w:r>
    </w:p>
    <w:p>
      <w:pPr>
        <w:pStyle w:val="Heading1"/>
        <w:spacing w:before="0" w:after="0"/>
        <w:rPr/>
      </w:pPr>
      <w:r>
        <w:rPr/>
        <w:t>1. Purpose and implementation approach</w:t>
      </w:r>
    </w:p>
    <w:p>
      <w:pPr>
        <w:pStyle w:val="Normal"/>
        <w:rPr/>
      </w:pPr>
      <w:r>
        <w:rPr/>
        <w:t>This document defines the sequence of steps the existing NexaCrest International application should follow once the commercial discussion is complete and the client is ready to proceed. It is an application workflow specification, not a general export-process guide. The goal is to arrange existing screens and functions in the correct order, identify missing gates, and specify what the client, Admin, Accounts, Procurement, Shipping, CHA and other participants must do.</w:t>
      </w:r>
    </w:p>
    <w:p>
      <w:pPr>
        <w:pStyle w:val="Normal"/>
        <w:rPr/>
      </w:pPr>
      <w:r>
        <w:rPr/>
        <w:t>The application should use sequential stages where dependencies require them, conditional branches for different payment arrangements, and linked records for expenses, LC/loan details, shipment documents and government benefits. A step may be marked Complete or Skip with reason, subject to the controls below.</w:t>
      </w:r>
    </w:p>
    <w:p>
      <w:pPr>
        <w:pStyle w:val="Heading1"/>
        <w:rPr/>
      </w:pPr>
      <w:r>
        <w:rPr/>
        <w:t>2. Rules that apply to every workflow step</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Rule</w:t>
            </w:r>
          </w:p>
        </w:tc>
        <w:tc>
          <w:tcPr>
            <w:tcW w:w="5111"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Application requirement</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Complete</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Record the completing user, timestamp, status, related documents and relevant values. Trigger configured email notifications and activate the next eligible step.</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Skip with reason</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Every step must offer Skip with reason. Record the user, timestamp and reason. For mandatory or financially/compliance-critical steps, require authorised exception approval or block dependent actions.</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Email notifications</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Every completion, skip, upload, approval, rejection, material status change and failed action must trigger the relevant internal email. Send client emails whenever the client must act, acknowledge, pay, correct details or receive a meaningful update.</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Audit trail</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Keep document versions, uploads, approvals, payment records, status changes, skip reasons and notification delivery/retry logs. Do not erase prior history when correcting a step.</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Role-based access</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Only authorised roles should approve commercial documents, confirm bank receipts, release shipping documents, approve exceptions or close the order.</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Client vs internal status</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Client-facing closure and internal final closure are separate. The client can be finished while internal export-realisation, incentive and reconciliation work remains open.</w:t>
            </w:r>
          </w:p>
        </w:tc>
      </w:tr>
    </w:tbl>
    <w:p>
      <w:pPr>
        <w:pStyle w:val="Normal"/>
        <w:spacing w:before="0" w:after="20"/>
        <w:rPr/>
      </w:pPr>
      <w:r>
        <w:rPr/>
      </w:r>
    </w:p>
    <w:p>
      <w:pPr>
        <w:pStyle w:val="Heading1"/>
        <w:rPr/>
      </w:pPr>
      <w:r>
        <w:rPr/>
        <w:t>3. Main workflow sequence</w:t>
      </w:r>
    </w:p>
    <w:p>
      <w:pPr>
        <w:pStyle w:val="Normal"/>
        <w:rPr/>
      </w:pPr>
      <w:r>
        <w:rPr/>
        <w:t>The step IDs below are stable reference IDs for development and testing. The developer may map them to the existing application’s screens and internal identifiers.</w:t>
      </w:r>
    </w:p>
    <w:p>
      <w:pPr>
        <w:pStyle w:val="Heading2"/>
        <w:rPr/>
      </w:pPr>
      <w:r>
        <w:rPr/>
        <w:t>Phase A — Quotation and buyer approval</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56"/>
        <w:gridCol w:w="2556"/>
        <w:gridCol w:w="2557"/>
        <w:gridCol w:w="2554"/>
      </w:tblGrid>
      <w:tr>
        <w:trPr/>
        <w:tc>
          <w:tcPr>
            <w:tcW w:w="2556"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Step ID</w:t>
            </w:r>
          </w:p>
        </w:tc>
        <w:tc>
          <w:tcPr>
            <w:tcW w:w="2556"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Step</w:t>
            </w:r>
          </w:p>
        </w:tc>
        <w:tc>
          <w:tcPr>
            <w:tcW w:w="2557"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Application action / completion criteria</w:t>
            </w:r>
          </w:p>
        </w:tc>
        <w:tc>
          <w:tcPr>
            <w:tcW w:w="2554"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Email notification</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00</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Send quotation details link</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Generate client-facing quotation-details link so the buyer can submit required product, quantity, specification and commercial details. Store the submission against the order/enquiry.</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 client receives link.</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01</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Prepare quotation</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Prepare quotation using submitted details. Record quotation number/version, product specifications, quantity, pricing, currency, Incoterm/place, payment terms and validity.</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Admin/sales; internal approval if configured.</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02</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Send quotation</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Publish approved quotation in client portal and email it to buyer. Record sent date and version.</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 and client.</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03</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Record buyer acceptance</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Record buyer’s OK against the exact quotation version. If revised terms are requested, return to quotation preparation and retain prior versions.</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 client response recorded.</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04A</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Generate Buyer PO / order acceptance document</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Generate NexaCrest’s buyer-facing acceptance document containing agreed terms and send it for signature. Name it clearly so it is not confused with NexaCrest’s supplier PO.</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 and client.</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04B</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Receive and verify signed document</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Client uploads signed document. Admin checks signature, authority, version and changes; approve or return for correction.</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 client gets upload acknowledgement or correction request.</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04C</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Generate PI details link</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Generate client-facing form link for consignee, notify party and required billing/shipping information.</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 and client.</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04D</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Client submits details</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Client completes and submits the form. Record submission time and submitted version.</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 client submission acknowledgement.</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04E</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Verify and approve details</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Validate consignee, notify party, addresses, destination/port and required identifiers. Approve or return for correction; retain change history.</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Admin/shipping; client receives approval or correction request.</w:t>
            </w:r>
          </w:p>
        </w:tc>
      </w:tr>
    </w:tbl>
    <w:p>
      <w:pPr>
        <w:pStyle w:val="Normal"/>
        <w:spacing w:before="0" w:after="20"/>
        <w:rPr/>
      </w:pPr>
      <w:r>
        <w:rPr/>
      </w:r>
    </w:p>
    <w:p>
      <w:pPr>
        <w:pStyle w:val="Normal"/>
        <w:rPr/>
      </w:pPr>
      <w:r>
        <w:rPr/>
        <w:t>Gate A: Final PI generation should require the accepted quotation, signed buyer document and approved PI details unless an authorised exception is recorded.</w:t>
      </w:r>
    </w:p>
    <w:p>
      <w:pPr>
        <w:pStyle w:val="Heading2"/>
        <w:rPr/>
      </w:pPr>
      <w:r>
        <w:rPr/>
        <w:t>Phase B — PI, advance payment, OC and ECGC</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56"/>
        <w:gridCol w:w="2556"/>
        <w:gridCol w:w="2557"/>
        <w:gridCol w:w="2554"/>
      </w:tblGrid>
      <w:tr>
        <w:trPr/>
        <w:tc>
          <w:tcPr>
            <w:tcW w:w="2556"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Step ID</w:t>
            </w:r>
          </w:p>
        </w:tc>
        <w:tc>
          <w:tcPr>
            <w:tcW w:w="2556"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Step</w:t>
            </w:r>
          </w:p>
        </w:tc>
        <w:tc>
          <w:tcPr>
            <w:tcW w:w="2557"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Application action / completion criteria</w:t>
            </w:r>
          </w:p>
        </w:tc>
        <w:tc>
          <w:tcPr>
            <w:tcW w:w="2554"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Email notification</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05</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Generate PI</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Generate Proforma Invoice from approved commercial and buyer details. Assign PI number/version and store the PDF/document.</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05A</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Send PI</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Publish PI in client portal and email it to buyer; record issue date, validity and payment due date.</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 and client.</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05B</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Advance due</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Record advance amount, currency, due date and payment instructions based on PI.</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 client receives payment instructions.</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05C</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Client uploads payment proof</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Accept screenshot, remittance advice or other permitted proof. Store file, upload time, claimed amount/currency and uploader.</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 client upload acknowledgement.</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05D</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Payment-proof alert</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Create verification task for Accounts and notify the assigned recipients.</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05E</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Verify bank receipt</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Accounts checks actual bank credit and records confirmed, partial, short, unidentified or not-yet-received status.</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 client if clarification is needed.</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05F</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Record cleared advance</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Record foreign currency amount, actual INR credited, applicable exchange rate and timestamp/source, bank charges and reconciliation difference. Link receipt to PI/order.</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 client confirmation when appropriate.</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06</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Generate Order Confirmation (OC)</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Generate OC after required advance is cleared unless authorised exception applies. Include confirmed specifications, value, terms and estimated dates.</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06A</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Client acknowledges OC</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Buyer acknowledges OC in portal. Store acknowledged version, user and date; route change requests through change control.</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 client receives acknowledgement request.</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06B</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File ECGC</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After order confirmation, initiate applicable ECGC filing/cover process for protection of the relevant exposure. Record application/reference and status.</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06C</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Record ECGC fee</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Record fee/premium amount, currency, payment date, payment reference and expense allocation to this order. Track filing separately from cover approval.</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w:t>
            </w:r>
          </w:p>
        </w:tc>
      </w:tr>
    </w:tbl>
    <w:p>
      <w:pPr>
        <w:pStyle w:val="Normal"/>
        <w:spacing w:before="0" w:after="20"/>
        <w:rPr/>
      </w:pPr>
      <w:r>
        <w:rPr/>
      </w:r>
    </w:p>
    <w:p>
      <w:pPr>
        <w:pStyle w:val="Normal"/>
        <w:rPr/>
      </w:pPr>
      <w:r>
        <w:rPr/>
        <w:t>Business rule: ECGC filing is intentionally placed after order confirmation to avoid incurring a fee before the buyer commits. The application should distinguish filing submission, premium payment, and confirmation of applicable cover/approval.</w:t>
      </w:r>
    </w:p>
    <w:p>
      <w:pPr>
        <w:pStyle w:val="Heading2"/>
        <w:rPr/>
      </w:pPr>
      <w:r>
        <w:rPr/>
        <w:t>Phase C — Supplier PO and production</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56"/>
        <w:gridCol w:w="2556"/>
        <w:gridCol w:w="2557"/>
        <w:gridCol w:w="2554"/>
      </w:tblGrid>
      <w:tr>
        <w:trPr/>
        <w:tc>
          <w:tcPr>
            <w:tcW w:w="2556"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Step ID</w:t>
            </w:r>
          </w:p>
        </w:tc>
        <w:tc>
          <w:tcPr>
            <w:tcW w:w="2556"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Step</w:t>
            </w:r>
          </w:p>
        </w:tc>
        <w:tc>
          <w:tcPr>
            <w:tcW w:w="2557"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Application action / completion criteria</w:t>
            </w:r>
          </w:p>
        </w:tc>
        <w:tc>
          <w:tcPr>
            <w:tcW w:w="2554"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Email notification</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07</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Prepare supplier PO</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Generate supplier PO from confirmed customer order. Record supplier, specifications, price, quantity, packing, lead time, payment terms and delivery commitment. Owner decision (27 Oct 2026): the supplier advance may be 0% — the advance step then completes by itself and the full amount is paid as the balance. The supplier is paid against its own bills (advance, then balance), with GST chosen as a rate (%) and calculated automatically.</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Admin/procurement; supplier as applicable.</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07A</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Record supplier acknowledgement</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Record supplier acceptance and any changes to price, quantity or lead time. Material changes must be reviewed and approved before updating the customer commitment.</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Admin/procurement.</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08</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Update estimated completion date</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Record supplier’s estimated production completion date and display it in client portal. Maintain history of changes and reasons.</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Admin/procurement and client.</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08A</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Seven-day inspection reminder</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If third-party inspection applies, trigger reminder seven days before estimated completion to coordinate production readiness and inspection arrangements.</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 and responsible production/inspection contact.</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09</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Production completed</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Record actual completion date and upload supplier completion evidence, QC information or progress images as applicable.</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Admin/procurement; client receives appropriate progress update.</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09A</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Coordinate third-party inspection</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If required, book inspection after production completion, record date, agency, scope, report, pass/fail and corrective actions. Failed inspection blocks dispatch clearance until resolved or authorised exception recorded.</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Admin/production/inspection contact; client as agreed.</w:t>
            </w:r>
          </w:p>
        </w:tc>
      </w:tr>
    </w:tbl>
    <w:p>
      <w:pPr>
        <w:pStyle w:val="Normal"/>
        <w:spacing w:before="0" w:after="20"/>
        <w:rPr/>
      </w:pPr>
      <w:r>
        <w:rPr/>
      </w:r>
    </w:p>
    <w:p>
      <w:pPr>
        <w:pStyle w:val="Normal"/>
        <w:rPr/>
      </w:pPr>
      <w:r>
        <w:rPr/>
        <w:t>If inspection is not applicable, mark 09A as skipped with a reason such as “Third-party inspection not required under this order.”</w:t>
      </w:r>
    </w:p>
    <w:p>
      <w:pPr>
        <w:pStyle w:val="Heading2"/>
        <w:rPr/>
      </w:pPr>
      <w:r>
        <w:rPr/>
        <w:t>Phase D — Payment branch and shipment preparation</w:t>
      </w:r>
    </w:p>
    <w:p>
      <w:pPr>
        <w:pStyle w:val="Normal"/>
        <w:rPr/>
      </w:pPr>
      <w:r>
        <w:rPr/>
        <w:t>At this stage, the order follows one configured payment branch. Store the selected branch on the order so the application activates the correct screens, due dates, validations and notifications.</w:t>
      </w:r>
    </w:p>
    <w:p>
      <w:pPr>
        <w:pStyle w:val="Heading3"/>
        <w:rPr/>
      </w:pPr>
      <w:r>
        <w:rPr/>
        <w:t>Leg 1 — Balance payment before goods leave the factory</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56"/>
        <w:gridCol w:w="2556"/>
        <w:gridCol w:w="2557"/>
        <w:gridCol w:w="2554"/>
      </w:tblGrid>
      <w:tr>
        <w:trPr/>
        <w:tc>
          <w:tcPr>
            <w:tcW w:w="2556"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Step ID</w:t>
            </w:r>
          </w:p>
        </w:tc>
        <w:tc>
          <w:tcPr>
            <w:tcW w:w="2556"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Step</w:t>
            </w:r>
          </w:p>
        </w:tc>
        <w:tc>
          <w:tcPr>
            <w:tcW w:w="2557"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Application action / completion criteria</w:t>
            </w:r>
          </w:p>
        </w:tc>
        <w:tc>
          <w:tcPr>
            <w:tcW w:w="2554"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Email notification</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09B-L1</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Generate CI and request balance</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Generate Commercial Invoice/payment request for the balance due and send it to client.</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 and client.</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09C-L1</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Client uploads balance proof</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Client pays under agreed terms and uploads screenshot/remittance copy.</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 client upload acknowledgement.</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09D-L1</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Notify Accounts</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Create payment-verification task.</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09E-L1</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Verify bank receipt</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Accounts verifies actual bank credit and reconciles it against order balance.</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 client if discrepancy.</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09F-L1</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Clear factory release</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Mark balance cleared only when bank receipt is confirmed. Permit factory release only after required payment, inspection and other release conditions are met.</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Admin/accounts/shipping; client receives status as appropriate.</w:t>
            </w:r>
          </w:p>
        </w:tc>
      </w:tr>
    </w:tbl>
    <w:p>
      <w:pPr>
        <w:pStyle w:val="Normal"/>
        <w:spacing w:before="0" w:after="20"/>
        <w:rPr/>
      </w:pPr>
      <w:r>
        <w:rPr/>
      </w:r>
    </w:p>
    <w:p>
      <w:pPr>
        <w:pStyle w:val="Heading3"/>
        <w:rPr/>
      </w:pPr>
      <w:r>
        <w:rPr/>
        <w:t>Leg 2 — Goods balance payable within seven days of BL</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56"/>
        <w:gridCol w:w="2556"/>
        <w:gridCol w:w="2557"/>
        <w:gridCol w:w="2554"/>
      </w:tblGrid>
      <w:tr>
        <w:trPr/>
        <w:tc>
          <w:tcPr>
            <w:tcW w:w="2556"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Step ID</w:t>
            </w:r>
          </w:p>
        </w:tc>
        <w:tc>
          <w:tcPr>
            <w:tcW w:w="2556"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Step</w:t>
            </w:r>
          </w:p>
        </w:tc>
        <w:tc>
          <w:tcPr>
            <w:tcW w:w="2557"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Application action / completion criteria</w:t>
            </w:r>
          </w:p>
        </w:tc>
        <w:tc>
          <w:tcPr>
            <w:tcW w:w="2554"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Email notification</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09B-L2</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Obtain freight quote</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Obtain CHA/forwarder quote for agreed CFR/CIF arrangement and record freight components, validity and assumptions.</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Admin/shipping/accounts.</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09C-L2</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Issue freight debit note</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Prepare and send freight quotation/debit note to client. Client pays freight amount when required by agreed terms and uploads proof.</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 and client.</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09D-L2</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Notify Accounts</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Create verification task for uploaded freight-payment proof.</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09E-L2</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Verify freight payment</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Verify actual bank credit and reconcile freight receipt separately from goods balance.</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 client if discrepancy.</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09F-L2</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Record freight clearance/credit status</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Record freight paid/outstanding and apply approved dispatch and credit controls. Do not incorrectly treat freight debit note as payment of the goods balance.</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Admin/accounts/shipping.</w:t>
            </w:r>
          </w:p>
        </w:tc>
      </w:tr>
    </w:tbl>
    <w:p>
      <w:pPr>
        <w:pStyle w:val="Normal"/>
        <w:spacing w:before="0" w:after="20"/>
        <w:rPr/>
      </w:pPr>
      <w:r>
        <w:rPr/>
      </w:r>
    </w:p>
    <w:p>
      <w:pPr>
        <w:pStyle w:val="Normal"/>
        <w:rPr/>
      </w:pPr>
      <w:r>
        <w:rPr/>
        <w:t>Important: Freight debit note and outstanding balance for goods are separate ledger items unless the contract expressly combines them. Leg 2 permits goods balance after BL, so the application must not automatically require that goods balance before dispatch.</w:t>
      </w:r>
    </w:p>
    <w:p>
      <w:pPr>
        <w:pStyle w:val="Heading3"/>
        <w:rPr/>
      </w:pPr>
      <w:r>
        <w:rPr/>
        <w:t>Common shipment-preparation steps</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56"/>
        <w:gridCol w:w="2556"/>
        <w:gridCol w:w="2557"/>
        <w:gridCol w:w="2554"/>
      </w:tblGrid>
      <w:tr>
        <w:trPr/>
        <w:tc>
          <w:tcPr>
            <w:tcW w:w="2556"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Step ID</w:t>
            </w:r>
          </w:p>
        </w:tc>
        <w:tc>
          <w:tcPr>
            <w:tcW w:w="2556"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Step</w:t>
            </w:r>
          </w:p>
        </w:tc>
        <w:tc>
          <w:tcPr>
            <w:tcW w:w="2557"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Application action / completion criteria</w:t>
            </w:r>
          </w:p>
        </w:tc>
        <w:tc>
          <w:tcPr>
            <w:tcW w:w="2554"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Email notification</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09G</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Prepare packing list</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Coordinate with factory. Record package/crate numbers, marks, quantities, net/gross weights and dimensions. Upload and verify final packing list.</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Admin/shipping; supplier/factory as applicable.</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09H</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Generate BL instruction sheet</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Generate BL instructions using approved consignee/notify-party details, ports and packing list.</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Admin/shipping.</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09I</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Send documents to CHA</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Send BL instruction sheet and packing list to CHA/forwarder; record sent date and request draft BL.</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Admin/shipping and CHA.</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09J</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Review draft BL</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Upload draft BL, compare with approved instructions and supporting documents, record corrections and upload revised documents. Repeat until approved.</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Admin/shipping; CHA; client if confirmation is required.</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09K</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Receive final shipping documents</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Upload final BL, final packing list and any additional CHA documents. Record document type, version, received date and verification status.</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Admin/shipping/accounts.</w:t>
            </w:r>
          </w:p>
        </w:tc>
      </w:tr>
    </w:tbl>
    <w:p>
      <w:pPr>
        <w:pStyle w:val="Normal"/>
        <w:spacing w:before="0" w:after="20"/>
        <w:rPr/>
      </w:pPr>
      <w:r>
        <w:rPr/>
      </w:r>
    </w:p>
    <w:p>
      <w:pPr>
        <w:pStyle w:val="Normal"/>
        <w:rPr/>
      </w:pPr>
      <w:r>
        <w:rPr/>
        <w:t>Additional shipment records should include booking/vessel details, Shipping Bill and customs clearance/LEO where applicable, container and seal numbers, loading date, actual vessel departure, insurance certificate when required, and original BL custody/release method. These may be fields within existing screens rather than separate top-level steps.</w:t>
      </w:r>
    </w:p>
    <w:p>
      <w:pPr>
        <w:pStyle w:val="Heading2"/>
        <w:rPr/>
      </w:pPr>
      <w:r>
        <w:rPr/>
        <w:t>Phase E — BL, balance payment and final document delivery</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56"/>
        <w:gridCol w:w="2556"/>
        <w:gridCol w:w="2557"/>
        <w:gridCol w:w="2554"/>
      </w:tblGrid>
      <w:tr>
        <w:trPr/>
        <w:tc>
          <w:tcPr>
            <w:tcW w:w="2556"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Step ID</w:t>
            </w:r>
          </w:p>
        </w:tc>
        <w:tc>
          <w:tcPr>
            <w:tcW w:w="2556"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Step</w:t>
            </w:r>
          </w:p>
        </w:tc>
        <w:tc>
          <w:tcPr>
            <w:tcW w:w="2557"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Application action / completion criteria</w:t>
            </w:r>
          </w:p>
        </w:tc>
        <w:tc>
          <w:tcPr>
            <w:tcW w:w="2554"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Email notification</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10A</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Leg 2: Generate final CI</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Generate CI on the actual invoice date and according to applicable invoicing requirements. Owner decision (27 Oct 2026): the invoice date defaults to today; staff may pick an earlier date (never a future date, never before the order was created) so the CI can carry the BL date. The picked date prints on the CI and on the COO preparation sheet.</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10B</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Send scanned BL and invoice</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Email scanned BL copy and applicable CI to client with payment instructions and due date.</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 and client.</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10C</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Client pays goods balance</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Client uploads proof for outstanding goods balance.</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 client upload acknowledgement.</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10D</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Notify Accounts</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Create verification task for final balance proof.</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10E</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Verify final balance</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Confirm actual bank credit, record INR amount, applicable exchange rate, bank charges and reconcile outstanding balance.</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 client receives confirmation or discrepancy.</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11A</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Record order expenses</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Calculate and record order-level travel/coordination expense under the configured distance/percentage rule. Store calculation basis, amount, categories, supporting documents and any approved override.</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 management if configured.</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11B</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Send final document package</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After required payments are cleared and required documents are available, send agreed document package to client. Retain one BL copy in company records and record release/custody status.</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Admin/shipping/accounts and client.</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11C</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Mark client-facing order closed</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Set client-facing status to Order Completed/Client Closed when commercial requirements are met. Keep internal order open for compliance, benefits and final reconciliation.</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 client receives completion update.</w:t>
            </w:r>
          </w:p>
        </w:tc>
      </w:tr>
    </w:tbl>
    <w:p>
      <w:pPr>
        <w:pStyle w:val="Normal"/>
        <w:spacing w:before="0" w:after="20"/>
        <w:rPr/>
      </w:pPr>
      <w:r>
        <w:rPr/>
      </w:r>
    </w:p>
    <w:p>
      <w:pPr>
        <w:pStyle w:val="Normal"/>
        <w:rPr/>
      </w:pPr>
      <w:r>
        <w:rPr/>
        <w:t>Leg 1 ordinarily clears the goods balance before factory release and should not activate the post-BL goods-balance collection steps unless the approved terms are changed. Leg 2 activates Steps 10A–10E as applicable.</w:t>
      </w:r>
    </w:p>
    <w:p>
      <w:pPr>
        <w:pStyle w:val="Heading1"/>
        <w:rPr/>
      </w:pPr>
      <w:r>
        <w:rPr/>
        <w:t>4. Order expenses — configurable 10% / 15% rule</w:t>
      </w:r>
    </w:p>
    <w:p>
      <w:pPr>
        <w:pStyle w:val="Normal"/>
        <w:rPr/>
      </w:pPr>
      <w:r>
        <w:rPr/>
        <w:t>The user’s current policy is to record 10% of total order value for an order requiring approximately 3–4 factory trips where the factory is about 175 km from the office, and 15% for a factory about 500 km away. This should be configurable rather than permanently hardcoded.</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Field</w:t>
            </w:r>
          </w:p>
        </w:tc>
        <w:tc>
          <w:tcPr>
            <w:tcW w:w="5111"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Requirement</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Order value basis</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Record which value is used for the percentage calculation (for example, approved order value) and keep it consistent.</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Factory distance</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Record distance in kilometres and whether it is one-way or round-trip.</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Number of trips</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Record planned and actual trips where available.</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Expense percentage</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Apply configured percentage/threshold (default 10% or 15%).</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Calculated amount</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Calculate automatically and store the calculation basis.</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Actual amount and override</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Allow authorised adjustment; require reason and approval if actual amount differs from calculated amount.</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Expense categories</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Support travel, accommodation, meals, local transport and other order coordination costs.</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Supporting evidence</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Allow receipts, bills and other evidence to be uploaded.</w:t>
            </w:r>
          </w:p>
        </w:tc>
      </w:tr>
    </w:tbl>
    <w:p>
      <w:pPr>
        <w:pStyle w:val="Normal"/>
        <w:spacing w:before="0" w:after="20"/>
        <w:rPr/>
      </w:pPr>
      <w:r>
        <w:rPr/>
      </w:r>
    </w:p>
    <w:p>
      <w:pPr>
        <w:pStyle w:val="Normal"/>
        <w:rPr/>
      </w:pPr>
      <w:r>
        <w:rPr/>
        <w:t>Example: on an order value of ₹20,00,000, 10% = ₹2,00,000 and 15% = ₹3,00,000. These are order expenses and should be recorded separately from supplier cost, freight and bank/loan charges.</w:t>
      </w:r>
    </w:p>
    <w:p>
      <w:pPr>
        <w:pStyle w:val="Heading1"/>
        <w:rPr/>
      </w:pPr>
      <w:r>
        <w:rPr/>
        <w:t>5. LC and bank loan — conditional workflow</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56"/>
        <w:gridCol w:w="2556"/>
        <w:gridCol w:w="2557"/>
        <w:gridCol w:w="2554"/>
      </w:tblGrid>
      <w:tr>
        <w:trPr/>
        <w:tc>
          <w:tcPr>
            <w:tcW w:w="2556"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Step ID</w:t>
            </w:r>
          </w:p>
        </w:tc>
        <w:tc>
          <w:tcPr>
            <w:tcW w:w="2556"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Step</w:t>
            </w:r>
          </w:p>
        </w:tc>
        <w:tc>
          <w:tcPr>
            <w:tcW w:w="2557"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Application action / completion criteria</w:t>
            </w:r>
          </w:p>
        </w:tc>
        <w:tc>
          <w:tcPr>
            <w:tcW w:w="2554"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Email notification</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05-1A</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Upload final LC</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For LC orders, allow upload of final Letter of Credit and record LC number, issuing bank, amount, currency, issue/expiry dates and relevant terms.</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 management if approval is needed.</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05-1B</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LC review and amendments</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Record LC review/approval, shipment and document-presentation deadlines, discrepancy risks and all amendments with version history.</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 relevant external party if needed.</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05-2A</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Record bank loan</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If a loan is taken for the order, record loan amount/currency, loan date, interest rate, repayment terms, lender and allocation to order.</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05-2B</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Record interest payments</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Support multiple interest payments with amount, date, bank reference and evidence.</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05-3A</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Allocate loan interest expense</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Record actual interest attributable to the order as an order-linked financing expense; prevent double-counting.</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 management as configured.</w:t>
            </w:r>
          </w:p>
        </w:tc>
      </w:tr>
    </w:tbl>
    <w:p>
      <w:pPr>
        <w:pStyle w:val="Normal"/>
        <w:spacing w:before="0" w:after="20"/>
        <w:rPr/>
      </w:pPr>
      <w:r>
        <w:rPr/>
      </w:r>
    </w:p>
    <w:p>
      <w:pPr>
        <w:pStyle w:val="Normal"/>
        <w:rPr/>
      </w:pPr>
      <w:r>
        <w:rPr/>
        <w:t>The application should support standard advance/balance arrangements and LC-based arrangements. Where the LC terms alter payment or document timing, use the approved LC conditions rather than automatically applying both standard payment branches.</w:t>
      </w:r>
    </w:p>
    <w:p>
      <w:pPr>
        <w:pStyle w:val="Heading1"/>
        <w:rPr/>
      </w:pPr>
      <w:r>
        <w:rPr/>
        <w:t>6. Government benefits and final internal closure</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56"/>
        <w:gridCol w:w="2556"/>
        <w:gridCol w:w="2557"/>
        <w:gridCol w:w="2554"/>
      </w:tblGrid>
      <w:tr>
        <w:trPr/>
        <w:tc>
          <w:tcPr>
            <w:tcW w:w="2556"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Step ID</w:t>
            </w:r>
          </w:p>
        </w:tc>
        <w:tc>
          <w:tcPr>
            <w:tcW w:w="2556"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Step</w:t>
            </w:r>
          </w:p>
        </w:tc>
        <w:tc>
          <w:tcPr>
            <w:tcW w:w="2557"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Application action / completion criteria</w:t>
            </w:r>
          </w:p>
        </w:tc>
        <w:tc>
          <w:tcPr>
            <w:tcW w:w="2554"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Email notification</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11D</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Create government-benefit records</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Record each applicable benefit (for example, RoDTEP), scheme, Shipping Bill reference, estimated amount, application date and deadline. Support multiple benefit records per order.</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Admin/accounts/compliance.</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11E</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Track benefit applications</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Record acknowledgement, queries, approval/rejection, sanctioned amount, expected receipt date and supporting documents.</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Admin/accounts/compliance; management for overdue/rejected claims.</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11F</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Record benefit receipt</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Record actual amount received, date, bank reference and reconciliation. Preserve estimated, sanctioned and received amounts separately.</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 management as configured.</w:t>
            </w:r>
          </w:p>
        </w:tc>
      </w:tr>
      <w:tr>
        <w:trPr/>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11G</w:t>
            </w:r>
          </w:p>
        </w:tc>
        <w:tc>
          <w:tcPr>
            <w:tcW w:w="2556"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Final internal reconciliation</w:t>
            </w:r>
          </w:p>
        </w:tc>
        <w:tc>
          <w:tcPr>
            <w:tcW w:w="255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Reconcile customer receipts, supplier payments, freight/CHA, ECGC fees, travel expenses, LC/loan interest, bank charges and government benefits. Flag unexplained differences.</w:t>
            </w:r>
          </w:p>
        </w:tc>
        <w:tc>
          <w:tcPr>
            <w:tcW w:w="2554"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Admin/accounts/management.</w:t>
            </w:r>
          </w:p>
        </w:tc>
      </w:tr>
      <w:tr>
        <w:trPr/>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4"/>
                <w:szCs w:val="22"/>
                <w:lang w:val="en-US" w:eastAsia="en-US" w:bidi="ar-SA"/>
              </w:rPr>
              <w:t>11H</w:t>
            </w:r>
          </w:p>
        </w:tc>
        <w:tc>
          <w:tcPr>
            <w:tcW w:w="2556"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Mark fully closed</w:t>
            </w:r>
          </w:p>
        </w:tc>
        <w:tc>
          <w:tcPr>
            <w:tcW w:w="255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Once mandatory financial, document and compliance tasks are complete—or authorised exceptions are recorded—mark Fully Closed and archive the complete order file.</w:t>
            </w:r>
          </w:p>
        </w:tc>
        <w:tc>
          <w:tcPr>
            <w:tcW w:w="255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4"/>
                <w:szCs w:val="22"/>
                <w:lang w:val="en-US" w:eastAsia="en-US" w:bidi="ar-SA"/>
              </w:rPr>
              <w:t>Admin/accounts/management; client notification optional.</w:t>
            </w:r>
          </w:p>
        </w:tc>
      </w:tr>
    </w:tbl>
    <w:p>
      <w:pPr>
        <w:pStyle w:val="Normal"/>
        <w:spacing w:before="0" w:after="20"/>
        <w:rPr/>
      </w:pPr>
      <w:r>
        <w:rPr/>
      </w:r>
    </w:p>
    <w:p>
      <w:pPr>
        <w:pStyle w:val="Heading1"/>
        <w:rPr/>
      </w:pPr>
      <w:r>
        <w:rPr/>
        <w:t>7. Order status model</w:t>
      </w:r>
    </w:p>
    <w:p>
      <w:pPr>
        <w:pStyle w:val="Normal"/>
        <w:rPr/>
      </w:pPr>
      <w:r>
        <w:rPr/>
        <w:t>Suggested primary progression:</w:t>
      </w:r>
    </w:p>
    <w:p>
      <w:pPr>
        <w:pStyle w:val="Normal"/>
        <w:spacing w:before="0" w:after="120"/>
        <w:rPr/>
      </w:pPr>
      <w:r>
        <w:rPr>
          <w:b/>
        </w:rPr>
        <w:t>Quotation Details → Quotation → Awaiting Buyer Acceptance → Awaiting Signed Buyer Document → Awaiting PI Details → PI Issued → Advance Pending → Advance Cleared → OC Pending/Acknowledged → ECGC Processing → Supplier PO → In Production → Inspection/Ready → Payment/Dispatch Clearance → Shipment Documentation → Shipped → Final Payment/Document Delivery → Client Closed → Compliance/Benefits Pending → Fully Closed</w:t>
      </w:r>
    </w:p>
    <w:p>
      <w:pPr>
        <w:pStyle w:val="Normal"/>
        <w:rPr/>
      </w:pPr>
      <w:r>
        <w:rPr/>
        <w:t>The application should also support exception statuses such as On Hold, Awaiting Correction, Delayed, Payment Overdue, Inspection Failed, Cancelled and Exception Approved. Preserve the order history when an order is cancelled or a step is reopened.</w:t>
      </w:r>
    </w:p>
    <w:p>
      <w:pPr>
        <w:pStyle w:val="Heading1"/>
        <w:rPr/>
      </w:pPr>
      <w:r>
        <w:rPr/>
        <w:t>8. Client closure vs internal closure</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Status</w:t>
            </w:r>
          </w:p>
        </w:tc>
        <w:tc>
          <w:tcPr>
            <w:tcW w:w="5111"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Definition</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Client Closed / Order Completed</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Goods shipped, required client-facing documents delivered and applicable commercial requirements satisfied. Any contractual receivable remains separately tracked until settled or formally handled.</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Internal Open</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Post-shipment work remains: export proceeds/realisation, eBRC, incentive claims/receipts, expenses or internal reconciliation.</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Fully Closed</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Mandatory financial and compliance tasks completed; expenses and benefits reconciled; required records archived; unresolved items closed or authorised exceptions documented.</w:t>
            </w:r>
          </w:p>
        </w:tc>
      </w:tr>
    </w:tbl>
    <w:p>
      <w:pPr>
        <w:pStyle w:val="Normal"/>
        <w:spacing w:before="0" w:after="20"/>
        <w:rPr/>
      </w:pPr>
      <w:r>
        <w:rPr/>
      </w:r>
    </w:p>
    <w:p>
      <w:pPr>
        <w:pStyle w:val="Heading1"/>
        <w:rPr/>
      </w:pPr>
      <w:r>
        <w:rPr/>
        <w:t>9. Email notification policy</w:t>
      </w:r>
    </w:p>
    <w:p>
      <w:pPr>
        <w:pStyle w:val="Normal"/>
        <w:rPr/>
      </w:pPr>
      <w:r>
        <w:rPr/>
        <w:t>Default internal recipients: all designated Admin/order owners for every workflow event; Accounts for payment, bank, invoice, loan, expense, eBRC and incentive events; Procurement/Production/Shipping for supplier PO, production, inspection, freight, customs and BL events; Management for exceptions, overdue items and final closure. Client emails are sent when the client must act or when an important client-facing status changes.</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Event</w:t>
            </w:r>
          </w:p>
        </w:tc>
        <w:tc>
          <w:tcPr>
            <w:tcW w:w="5111"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Recipients / purpose</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Quotation created/sent/revised</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Admin/sales; client receives quotation.</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Buyer acceptance/signed document upload</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Admin/approver; client gets upload acknowledgement or correction request.</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PI details submitted/approved/correction needed</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Admin/shipping; client receives link, approval or correction request.</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PI issued / payment proof uploaded</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Admin/accounts; client receives PI and upload acknowledgement.</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Payment confirmed / discrepancy / overdue</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Admin/accounts; client receives confirmation, query or reminder.</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OC issued / acknowledged</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Admin; client receives OC and acknowledgement request.</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ECGC filing/fee recorded</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Admin/accounts.</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Supplier PO/production date changes</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Admin/procurement; supplier as appropriate; client receives estimate changes.</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Inspection booked/passed/failed</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Admin/production/shipping; inspection contact and client as agreed.</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Freight debit note / CI / balance due</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Admin/accounts; client receives invoice/debit note and due date.</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Draft BL correction / final documents received</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Admin/shipping; CHA and client when required.</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Customs cleared / dispatched / vessel departed</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Admin/shipping; client receives appropriate milestone update.</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Client closed / incentive filed or received / fully closed</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Admin/accounts/management; client receives completion update when appropriate.</w:t>
            </w:r>
          </w:p>
        </w:tc>
      </w:tr>
    </w:tbl>
    <w:p>
      <w:pPr>
        <w:pStyle w:val="Normal"/>
        <w:spacing w:before="0" w:after="20"/>
        <w:rPr/>
      </w:pPr>
      <w:r>
        <w:rPr/>
      </w:r>
    </w:p>
    <w:p>
      <w:pPr>
        <w:pStyle w:val="Normal"/>
        <w:rPr/>
      </w:pPr>
      <w:r>
        <w:rPr/>
        <w:t>For each email event, log order ID, event type, timestamp, recipients, document/version, delivery status, error and retry history. Failed emails should be retried and escalated; the workflow event itself must not be silently lost.</w:t>
      </w:r>
    </w:p>
    <w:p>
      <w:pPr>
        <w:pStyle w:val="Heading1"/>
        <w:rPr/>
      </w:pPr>
      <w:r>
        <w:rPr/>
        <w:t>10. Cross-cutting controls and missing requirements</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Control</w:t>
            </w:r>
          </w:p>
        </w:tc>
        <w:tc>
          <w:tcPr>
            <w:tcW w:w="5111"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Requirement</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Version control</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Retain all quotation, PI, OC, CI, signed buyer document and BL versions with approver and timestamp.</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Payment reconciliation</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Separate uploaded proof from bank-confirmed receipt; support partial/excess payments, charges, FX differences and unidentified credits.</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Supplier confirmation</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Track supplier acknowledgement and revised commitments before treating supplier PO as confirmed.</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Inspection failure</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Track corrective actions and reinspection; block dispatch where inspection is mandatory and not passed.</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Shipment/customs records</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Track booking, Shipping Bill, LEO where applicable, container/seal, vessel departure, insurance and BL release/custody.</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Due-date reminders</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Calculate Leg 2 due date from actual BL date and approved terms; remind and escalate overdue balances.</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Expense and benefit ledgers</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Keep separate records for estimates, actual expenses, claims, sanctioned benefits and cash receipts.</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Exception handling</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Allow authorised hold, reopen, correction or override with reason, approver and audit history.</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Email delivery</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Log sent/failed/retried status and escalate delivery failure.</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Document release</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Do not release original BL or authorise cargo release contrary to approved payment, credit and contractual controls.</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Compliance applicability</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Track only applicable requirements; do not assume every order qualifies for every incentive or requires every certificate.</w:t>
            </w:r>
          </w:p>
        </w:tc>
      </w:tr>
    </w:tbl>
    <w:p>
      <w:pPr>
        <w:pStyle w:val="Normal"/>
        <w:spacing w:before="0" w:after="20"/>
        <w:rPr/>
      </w:pPr>
      <w:r>
        <w:rPr/>
      </w:r>
    </w:p>
    <w:p>
      <w:pPr>
        <w:pStyle w:val="Heading1"/>
        <w:rPr/>
      </w:pPr>
      <w:r>
        <w:rPr/>
        <w:t>11. Recommended stage arrangement in the existing application</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Stage</w:t>
            </w:r>
          </w:p>
        </w:tc>
        <w:tc>
          <w:tcPr>
            <w:tcW w:w="5111"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Suggested stage name</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01</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Quotation details and quotation</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02</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Buyer acceptance and signed buyer document</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03</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PI details and validation</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04</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PI and advance payment</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05</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OC acknowledgement and ECGC</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06</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Supplier PO and production schedule</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07</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Production completion and inspection</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08</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Payment branch — Leg 1 or Leg 2</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09</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Packing list, CHA instructions and BL</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10</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Shipment, final CI and balance reconciliation</w:t>
            </w:r>
          </w:p>
        </w:tc>
      </w:tr>
      <w:tr>
        <w:trPr/>
        <w:tc>
          <w:tcPr>
            <w:tcW w:w="511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11</w:t>
            </w:r>
          </w:p>
        </w:tc>
        <w:tc>
          <w:tcPr>
            <w:tcW w:w="511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Order expenses and client closure</w:t>
            </w:r>
          </w:p>
        </w:tc>
      </w:tr>
      <w:tr>
        <w:trPr/>
        <w:tc>
          <w:tcPr>
            <w:tcW w:w="5112"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12</w:t>
            </w:r>
          </w:p>
        </w:tc>
        <w:tc>
          <w:tcPr>
            <w:tcW w:w="5111"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Government benefits and final internal closure</w:t>
            </w:r>
          </w:p>
        </w:tc>
      </w:tr>
    </w:tbl>
    <w:p>
      <w:pPr>
        <w:pStyle w:val="Normal"/>
        <w:spacing w:before="0" w:after="20"/>
        <w:rPr/>
      </w:pPr>
      <w:r>
        <w:rPr/>
      </w:r>
    </w:p>
    <w:p>
      <w:pPr>
        <w:pStyle w:val="Heading1"/>
        <w:rPr/>
      </w:pPr>
      <w:r>
        <w:rPr/>
        <w:t>12. Developer acceptance checklist</w:t>
      </w:r>
    </w:p>
    <w:p>
      <w:pPr>
        <w:pStyle w:val="ListBullet"/>
        <w:numPr>
          <w:ilvl w:val="0"/>
          <w:numId w:val="1"/>
        </w:numPr>
        <w:spacing w:before="0" w:after="40"/>
        <w:contextualSpacing/>
        <w:rPr/>
      </w:pPr>
      <w:r>
        <w:rPr/>
        <w:t xml:space="preserve">☐ </w:t>
      </w:r>
      <w:r>
        <w:rPr/>
        <w:t>Each step has a stable ID and can be mapped to an existing screen/function.</w:t>
      </w:r>
    </w:p>
    <w:p>
      <w:pPr>
        <w:pStyle w:val="ListBullet"/>
        <w:numPr>
          <w:ilvl w:val="0"/>
          <w:numId w:val="1"/>
        </w:numPr>
        <w:spacing w:before="0" w:after="40"/>
        <w:contextualSpacing/>
        <w:rPr/>
      </w:pPr>
      <w:r>
        <w:rPr/>
        <w:t xml:space="preserve">☐ </w:t>
      </w:r>
      <w:r>
        <w:rPr/>
        <w:t>Each step supports Complete and Skip with reason; sensitive skips require authorisation.</w:t>
      </w:r>
    </w:p>
    <w:p>
      <w:pPr>
        <w:pStyle w:val="ListBullet"/>
        <w:numPr>
          <w:ilvl w:val="0"/>
          <w:numId w:val="1"/>
        </w:numPr>
        <w:spacing w:before="0" w:after="40"/>
        <w:contextualSpacing/>
        <w:rPr/>
      </w:pPr>
      <w:r>
        <w:rPr/>
        <w:t xml:space="preserve">☐ </w:t>
      </w:r>
      <w:r>
        <w:rPr/>
        <w:t>Each step has a defined owner/role, precondition, completion criteria and next state.</w:t>
      </w:r>
    </w:p>
    <w:p>
      <w:pPr>
        <w:pStyle w:val="ListBullet"/>
        <w:numPr>
          <w:ilvl w:val="0"/>
          <w:numId w:val="1"/>
        </w:numPr>
        <w:spacing w:before="0" w:after="40"/>
        <w:contextualSpacing/>
        <w:rPr/>
      </w:pPr>
      <w:r>
        <w:rPr/>
        <w:t xml:space="preserve">☐ </w:t>
      </w:r>
      <w:r>
        <w:rPr/>
        <w:t>Email recipients are configured by event and role, with delivery logs and retry handling.</w:t>
      </w:r>
    </w:p>
    <w:p>
      <w:pPr>
        <w:pStyle w:val="ListBullet"/>
        <w:numPr>
          <w:ilvl w:val="0"/>
          <w:numId w:val="1"/>
        </w:numPr>
        <w:spacing w:before="0" w:after="40"/>
        <w:contextualSpacing/>
        <w:rPr/>
      </w:pPr>
      <w:r>
        <w:rPr/>
        <w:t xml:space="preserve">☐ </w:t>
      </w:r>
      <w:r>
        <w:rPr/>
        <w:t>Client portal visibility is configurable by step/document.</w:t>
      </w:r>
    </w:p>
    <w:p>
      <w:pPr>
        <w:pStyle w:val="ListBullet"/>
        <w:numPr>
          <w:ilvl w:val="0"/>
          <w:numId w:val="1"/>
        </w:numPr>
        <w:spacing w:before="0" w:after="40"/>
        <w:contextualSpacing/>
        <w:rPr/>
      </w:pPr>
      <w:r>
        <w:rPr/>
        <w:t xml:space="preserve">☐ </w:t>
      </w:r>
      <w:r>
        <w:rPr/>
        <w:t>Leg 1 and Leg 2 are mutually exclusive order branches unless an authorised change is recorded.</w:t>
      </w:r>
    </w:p>
    <w:p>
      <w:pPr>
        <w:pStyle w:val="ListBullet"/>
        <w:numPr>
          <w:ilvl w:val="0"/>
          <w:numId w:val="1"/>
        </w:numPr>
        <w:spacing w:before="0" w:after="40"/>
        <w:contextualSpacing/>
        <w:rPr/>
      </w:pPr>
      <w:r>
        <w:rPr/>
        <w:t xml:space="preserve">☐ </w:t>
      </w:r>
      <w:r>
        <w:rPr/>
        <w:t>LC and bank loan/interest tracking activate only when applicable.</w:t>
      </w:r>
    </w:p>
    <w:p>
      <w:pPr>
        <w:pStyle w:val="ListBullet"/>
        <w:numPr>
          <w:ilvl w:val="0"/>
          <w:numId w:val="1"/>
        </w:numPr>
        <w:spacing w:before="0" w:after="40"/>
        <w:contextualSpacing/>
        <w:rPr/>
      </w:pPr>
      <w:r>
        <w:rPr/>
        <w:t xml:space="preserve">☐ </w:t>
      </w:r>
      <w:r>
        <w:rPr/>
        <w:t>All expenses and government benefits are linked to the individual order.</w:t>
      </w:r>
    </w:p>
    <w:p>
      <w:pPr>
        <w:pStyle w:val="ListBullet"/>
        <w:numPr>
          <w:ilvl w:val="0"/>
          <w:numId w:val="1"/>
        </w:numPr>
        <w:spacing w:before="0" w:after="40"/>
        <w:contextualSpacing/>
        <w:rPr/>
      </w:pPr>
      <w:r>
        <w:rPr/>
        <w:t xml:space="preserve">☐ </w:t>
      </w:r>
      <w:r>
        <w:rPr/>
        <w:t>Customer receipts, supplier payments, expenses and benefits are separately reconciled.</w:t>
      </w:r>
    </w:p>
    <w:p>
      <w:pPr>
        <w:pStyle w:val="ListBullet"/>
        <w:numPr>
          <w:ilvl w:val="0"/>
          <w:numId w:val="1"/>
        </w:numPr>
        <w:spacing w:before="0" w:after="40"/>
        <w:contextualSpacing/>
        <w:rPr/>
      </w:pPr>
      <w:r>
        <w:rPr/>
        <w:t xml:space="preserve">☐ </w:t>
      </w:r>
      <w:r>
        <w:rPr/>
        <w:t>Client Closed and Fully Closed are separate statuses.</w:t>
      </w:r>
    </w:p>
    <w:p>
      <w:pPr>
        <w:pStyle w:val="ListBullet"/>
        <w:numPr>
          <w:ilvl w:val="0"/>
          <w:numId w:val="1"/>
        </w:numPr>
        <w:spacing w:before="0" w:after="40"/>
        <w:contextualSpacing/>
        <w:rPr/>
      </w:pPr>
      <w:r>
        <w:rPr/>
        <w:t xml:space="preserve">☐ </w:t>
      </w:r>
      <w:r>
        <w:rPr/>
        <w:t>Document versions, approvals, changes and audit history are preserved.</w:t>
      </w:r>
    </w:p>
    <w:p>
      <w:pPr>
        <w:pStyle w:val="ListBullet"/>
        <w:numPr>
          <w:ilvl w:val="0"/>
          <w:numId w:val="1"/>
        </w:numPr>
        <w:spacing w:before="0" w:after="40"/>
        <w:contextualSpacing/>
        <w:rPr/>
      </w:pPr>
      <w:r>
        <w:rPr/>
        <w:t xml:space="preserve">☐ </w:t>
      </w:r>
      <w:r>
        <w:rPr/>
        <w:t>Overdue tasks, missing documents, failed inspections and payment discrepancies are visible on the dashboard.</w:t>
      </w:r>
    </w:p>
    <w:p>
      <w:pPr>
        <w:pStyle w:val="Heading1"/>
        <w:rPr/>
      </w:pPr>
      <w:r>
        <w:rPr/>
        <w:t>13. Items to confirm before development finalisation</w:t>
      </w:r>
    </w:p>
    <w:p>
      <w:pPr>
        <w:pStyle w:val="ListBullet"/>
        <w:numPr>
          <w:ilvl w:val="0"/>
          <w:numId w:val="1"/>
        </w:numPr>
        <w:spacing w:before="0" w:after="40"/>
        <w:contextualSpacing/>
        <w:rPr/>
      </w:pPr>
      <w:r>
        <w:rPr/>
        <w:t>Confirm the exact calculation basis for the 10%/15% travel expense rule and the distance threshold between the two rates.</w:t>
      </w:r>
    </w:p>
    <w:p>
      <w:pPr>
        <w:pStyle w:val="ListBullet"/>
        <w:numPr>
          <w:ilvl w:val="0"/>
          <w:numId w:val="1"/>
        </w:numPr>
        <w:spacing w:before="0" w:after="40"/>
        <w:contextualSpacing/>
        <w:rPr/>
      </w:pPr>
      <w:r>
        <w:rPr/>
        <w:t>Confirm whether Leg 2 freight debit note must be paid before dispatch, before BL issuance, or under another agreed milestone.</w:t>
      </w:r>
    </w:p>
    <w:p>
      <w:pPr>
        <w:pStyle w:val="ListBullet"/>
        <w:numPr>
          <w:ilvl w:val="0"/>
          <w:numId w:val="1"/>
        </w:numPr>
        <w:spacing w:before="0" w:after="40"/>
        <w:contextualSpacing/>
        <w:rPr/>
      </w:pPr>
      <w:r>
        <w:rPr/>
        <w:t>Confirm the exact definition of Client Closed: whether any outstanding goods receivable is permitted at that status.</w:t>
      </w:r>
    </w:p>
    <w:p>
      <w:pPr>
        <w:pStyle w:val="ListBullet"/>
        <w:numPr>
          <w:ilvl w:val="0"/>
          <w:numId w:val="1"/>
        </w:numPr>
        <w:spacing w:before="0" w:after="40"/>
        <w:contextualSpacing/>
        <w:rPr/>
      </w:pPr>
      <w:r>
        <w:rPr/>
        <w:t>Confirm which internal roles receive all notifications and which client events should be email-only versus portal-only.</w:t>
      </w:r>
    </w:p>
    <w:p>
      <w:pPr>
        <w:pStyle w:val="ListBullet"/>
        <w:numPr>
          <w:ilvl w:val="0"/>
          <w:numId w:val="1"/>
        </w:numPr>
        <w:spacing w:before="0" w:after="40"/>
        <w:contextualSpacing/>
        <w:rPr/>
      </w:pPr>
      <w:r>
        <w:rPr/>
        <w:t>Confirm applicable ECGC process, LC checks, export-realisation/eBRC and incentive requirements with the responsible bank/compliance advisor.</w:t>
      </w:r>
    </w:p>
    <w:p>
      <w:pPr>
        <w:pStyle w:val="ListBullet"/>
        <w:numPr>
          <w:ilvl w:val="0"/>
          <w:numId w:val="1"/>
        </w:numPr>
        <w:spacing w:before="0" w:after="40"/>
        <w:contextualSpacing/>
        <w:rPr/>
      </w:pPr>
      <w:r>
        <w:rPr/>
        <w:t>Confirm whether Step 10A final CI date must match BL date as a business rule or only when appropriate for the transaction. Resolved 27 Oct 2026 — see Step 10A and section 14.</w:t>
      </w:r>
    </w:p>
    <w:p>
      <w:pPr>
        <w:pStyle w:val="Normal"/>
        <w:rPr/>
      </w:pPr>
      <w:r>
        <w:rPr/>
      </w:r>
    </w:p>
    <w:p>
      <w:pPr>
        <w:pStyle w:val="Heading1"/>
        <w:rPr/>
      </w:pPr>
      <w:r>
        <w:rPr/>
        <w:t>14. Owner decisions recorded — 27 October 2026</w:t>
      </w:r>
    </w:p>
    <w:p>
      <w:pPr>
        <w:pStyle w:val="Normal"/>
        <w:spacing w:before="0" w:after="120"/>
        <w:rPr/>
      </w:pPr>
      <w:r>
        <w:rPr/>
        <w:t>These decisions were made by the owner while configuring the application and are already built into it. They take precedence over any earlier wording in this specification.</w:t>
      </w:r>
    </w:p>
    <w:tbl>
      <w:tblPr>
        <w:tblStyle w:val="TableGrid"/>
        <w:tblW w:w="1072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90"/>
        <w:gridCol w:w="8137"/>
      </w:tblGrid>
      <w:tr>
        <w:trPr/>
        <w:tc>
          <w:tcPr>
            <w:tcW w:w="2590"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Area</w:t>
            </w:r>
          </w:p>
        </w:tc>
        <w:tc>
          <w:tcPr>
            <w:tcW w:w="8137" w:type="dxa"/>
            <w:tcBorders/>
            <w:shd w:fill="1F4E7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What the application does</w:t>
            </w:r>
          </w:p>
        </w:tc>
      </w:tr>
      <w:tr>
        <w:trPr/>
        <w:tc>
          <w:tcPr>
            <w:tcW w:w="259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Supplier vs buyer</w:t>
            </w:r>
          </w:p>
        </w:tc>
        <w:tc>
          <w:tcPr>
            <w:tcW w:w="813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Supplier and buyer are separate and must never cross. The Supplier PO and every supplier link show only the supplier's own order — never the buyer, the buyer's prices or the buyer's documents. The buyer-facing document in Step 04A is named so it cannot be confused with the Supplier PO.</w:t>
            </w:r>
          </w:p>
        </w:tc>
      </w:tr>
      <w:tr>
        <w:trPr/>
        <w:tc>
          <w:tcPr>
            <w:tcW w:w="2590"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Supplier payments</w:t>
            </w:r>
          </w:p>
        </w:tc>
        <w:tc>
          <w:tcPr>
            <w:tcW w:w="813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The supplier is paid against its own bills: the advance against an advance/proforma invoice, the balance against the tax invoice, each with the payment date, mode and UTR/reference. When an advance is planned, the balance waits for it. A 0% advance is accepted: the advance step completes by itself and the full amount is the balance.</w:t>
            </w:r>
          </w:p>
        </w:tc>
      </w:tr>
      <w:tr>
        <w:trPr/>
        <w:tc>
          <w:tcPr>
            <w:tcW w:w="259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Logistics / CHA payments</w:t>
            </w:r>
          </w:p>
        </w:tc>
        <w:tc>
          <w:tcPr>
            <w:tcW w:w="813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One record per partner bill, marked Advance or Final. An Advance can be paid at any time. On CFR/CIF orders a Final bill is paid only after the buyer's freight Debit Note payment has cleared; on FOB orders at any time. CHA/logistics payments are made in India.</w:t>
            </w:r>
          </w:p>
        </w:tc>
      </w:tr>
      <w:tr>
        <w:trPr/>
        <w:tc>
          <w:tcPr>
            <w:tcW w:w="2590"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GST on vendor bills</w:t>
            </w:r>
          </w:p>
        </w:tc>
        <w:tc>
          <w:tcPr>
            <w:tcW w:w="813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GST is chosen as a rate (%) from the configured list (0, 5, 12, 18, 28); the GST amount and bill total are calculated automatically and recalculated by the server on save.</w:t>
            </w:r>
          </w:p>
        </w:tc>
      </w:tr>
      <w:tr>
        <w:trPr/>
        <w:tc>
          <w:tcPr>
            <w:tcW w:w="259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Order expenses</w:t>
            </w:r>
          </w:p>
        </w:tc>
        <w:tc>
          <w:tcPr>
            <w:tcW w:w="813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Actual order expenses (travel, accommodation, meals, local transport and other coordination costs) are recorded against the order with a receipt, or a reason when there is none. The configured travel percentage is a provisional budget until actual travel expenses are recorded.</w:t>
            </w:r>
          </w:p>
        </w:tc>
      </w:tr>
      <w:tr>
        <w:trPr/>
        <w:tc>
          <w:tcPr>
            <w:tcW w:w="2590"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Not applicable vs skipped</w:t>
            </w:r>
          </w:p>
        </w:tc>
        <w:tc>
          <w:tcPr>
            <w:tcW w:w="813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Choosing Not Applicable / Not Eligible fills in a standard reason (still editable). Skipped always needs a typed reason of at least 10 characters.</w:t>
            </w:r>
          </w:p>
        </w:tc>
      </w:tr>
      <w:tr>
        <w:trPr/>
        <w:tc>
          <w:tcPr>
            <w:tcW w:w="259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Commercial Invoice date</w:t>
            </w:r>
          </w:p>
        </w:tc>
        <w:tc>
          <w:tcPr>
            <w:tcW w:w="813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The invoice date defaults to today; staff may pick an earlier date (never future, never before the order was created) so the CI can carry the BL date. The picked date prints on the CI and on the COO preparation sheet.</w:t>
            </w:r>
          </w:p>
        </w:tc>
      </w:tr>
      <w:tr>
        <w:trPr/>
        <w:tc>
          <w:tcPr>
            <w:tcW w:w="2590"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CAFIN — internal financial annexure</w:t>
            </w:r>
          </w:p>
        </w:tc>
        <w:tc>
          <w:tcPr>
            <w:tcW w:w="813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One internal PDF combining order details, supplier cost, expenses, government benefits and profit. It can be generated at any stage, including after the order is closed, and is never sent, attached or shown to the client by any route (download, link, email or portal).</w:t>
            </w:r>
          </w:p>
        </w:tc>
      </w:tr>
      <w:tr>
        <w:trPr/>
        <w:tc>
          <w:tcPr>
            <w:tcW w:w="259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Confidential financial data</w:t>
            </w:r>
          </w:p>
        </w:tc>
        <w:tc>
          <w:tcPr>
            <w:tcW w:w="813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Profit, margin and CAFIN are shown on screen only to Admin, MD and ED. Since 28 Oct 2026 the Accounts Executive and the CA may also view and download CAFIN (section 15); it still never reaches the client.</w:t>
            </w:r>
          </w:p>
        </w:tc>
      </w:tr>
      <w:tr>
        <w:trPr/>
        <w:tc>
          <w:tcPr>
            <w:tcW w:w="2590"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Form validation</w:t>
            </w:r>
          </w:p>
        </w:tc>
        <w:tc>
          <w:tcPr>
            <w:tcW w:w="8137" w:type="dxa"/>
            <w:tcBorders/>
            <w:shd w:fill="F3F6F9"/>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Every input form is checked in the browser before it is submitted, with the message beside the field; a "Re-enter …" field must match the field it confirms. Server-side checks remain.</w:t>
            </w:r>
          </w:p>
        </w:tc>
      </w:tr>
      <w:tr>
        <w:trPr/>
        <w:tc>
          <w:tcPr>
            <w:tcW w:w="259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6"/>
                <w:szCs w:val="22"/>
                <w:lang w:val="en-US" w:eastAsia="en-US" w:bidi="ar-SA"/>
              </w:rPr>
              <w:t>Generated documents</w:t>
            </w:r>
          </w:p>
        </w:tc>
        <w:tc>
          <w:tcPr>
            <w:tcW w:w="813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The format of client-facing PDFs must not change. Before any change to what a generated document shows, the owner is shown the current and changed version and confirms twice.</w:t>
            </w:r>
          </w:p>
        </w:tc>
      </w:tr>
    </w:tbl>
    <w:p>
      <w:pPr>
        <w:pStyle w:val="Normal"/>
        <w:spacing w:before="0" w:after="120"/>
        <w:rPr/>
      </w:pPr>
      <w:r>
        <w:rPr/>
      </w:r>
    </w:p>
    <w:p>
      <w:pPr>
        <w:pStyle w:val="Heading1"/>
        <w:rPr/>
      </w:pPr>
      <w:r>
        <w:rPr/>
        <w:t>15. Owner decisions recorded — 28 to 30 October 2026</w:t>
      </w:r>
    </w:p>
    <w:p>
      <w:pPr>
        <w:pStyle w:val="Normal"/>
        <w:spacing w:before="0" w:after="120"/>
        <w:rPr/>
      </w:pPr>
      <w:r>
        <w:rPr/>
        <w:t>These decisions were made after section 14 and are built into the application. They take precedence over any earlier wording in this specification.</w:t>
      </w:r>
    </w:p>
    <w:p>
      <w:pPr>
        <w:pStyle w:val="ListBullet"/>
        <w:numPr>
          <w:ilvl w:val="0"/>
          <w:numId w:val="1"/>
        </w:numPr>
        <w:spacing w:before="0" w:after="40"/>
        <w:contextualSpacing/>
        <w:rPr/>
      </w:pPr>
      <w:r>
        <w:rPr/>
        <w:t>Payment-terms approval (28 Oct): when the payment preset is marked "Requires MD approval", the MD, ED or Admin approves the payment terms before the Quotation can be generated.</w:t>
      </w:r>
    </w:p>
    <w:p>
      <w:pPr>
        <w:pStyle w:val="ListBullet"/>
        <w:numPr>
          <w:ilvl w:val="0"/>
          <w:numId w:val="1"/>
        </w:numPr>
        <w:spacing w:before="0" w:after="40"/>
        <w:contextualSpacing/>
        <w:rPr/>
      </w:pPr>
      <w:r>
        <w:rPr/>
        <w:t>CAFIN access (28 Oct): the Accounts Executive and the CA may also view and download CAFIN. CAFIN can be exported as CSV for every order of a financial year (30 Oct). It never reaches the client by any route.</w:t>
      </w:r>
    </w:p>
    <w:p>
      <w:pPr>
        <w:pStyle w:val="ListBullet"/>
        <w:numPr>
          <w:ilvl w:val="0"/>
          <w:numId w:val="1"/>
        </w:numPr>
        <w:spacing w:before="0" w:after="40"/>
        <w:contextualSpacing/>
        <w:rPr/>
      </w:pPr>
      <w:r>
        <w:rPr/>
        <w:t>CA role (28 and 30 Oct): the CA sees every order, read-only, with no order-editing rights.</w:t>
      </w:r>
    </w:p>
    <w:p>
      <w:pPr>
        <w:pStyle w:val="ListBullet"/>
        <w:numPr>
          <w:ilvl w:val="0"/>
          <w:numId w:val="1"/>
        </w:numPr>
        <w:spacing w:before="0" w:after="40"/>
        <w:contextualSpacing/>
        <w:rPr/>
      </w:pPr>
      <w:r>
        <w:rPr/>
        <w:t>Vendor bills (28 Oct): each supplier or logistics bill is marked as a proforma or the tax invoice, and a bill may be paid in several payments, each with its date, mode and UTR.</w:t>
      </w:r>
    </w:p>
    <w:p>
      <w:pPr>
        <w:pStyle w:val="ListBullet"/>
        <w:numPr>
          <w:ilvl w:val="0"/>
          <w:numId w:val="1"/>
        </w:numPr>
        <w:spacing w:before="0" w:after="40"/>
        <w:contextualSpacing/>
        <w:rPr/>
      </w:pPr>
      <w:r>
        <w:rPr/>
        <w:t>Letter of Credit orders (29 Oct): the Quotation and Order Confirmation no longer mention a "0% advance". The money the bank pays under the LC is recorded with the INR credited, bank charges and its FIRC / eBRC, and counts as money received in CAFIN and the INR Settlement Register.</w:t>
      </w:r>
    </w:p>
    <w:p>
      <w:pPr>
        <w:pStyle w:val="ListBullet"/>
        <w:numPr>
          <w:ilvl w:val="0"/>
          <w:numId w:val="1"/>
        </w:numPr>
        <w:spacing w:before="0" w:after="40"/>
        <w:contextualSpacing/>
        <w:rPr/>
      </w:pPr>
      <w:r>
        <w:rPr/>
        <w:t>Reference numbers (29 Oct): new numbers use the 2-digit year, for example SC/CI/26/2910001, because a GST invoice number may have at most 16 characters. Numbers already issued are unchanged.</w:t>
      </w:r>
    </w:p>
    <w:p>
      <w:pPr>
        <w:pStyle w:val="ListBullet"/>
        <w:numPr>
          <w:ilvl w:val="0"/>
          <w:numId w:val="1"/>
        </w:numPr>
        <w:spacing w:before="0" w:after="40"/>
        <w:contextualSpacing/>
        <w:rPr/>
      </w:pPr>
      <w:r>
        <w:rPr/>
        <w:t>Shipping Bill (29 Oct): its number, date and customs exchange rate are recorded on the order (Step 10f); the Commercial Invoice and Debit Note go to Zoho Books at that rate. Transport bills can be marked reverse charge.</w:t>
      </w:r>
    </w:p>
    <w:p>
      <w:pPr>
        <w:pStyle w:val="ListBullet"/>
        <w:numPr>
          <w:ilvl w:val="0"/>
          <w:numId w:val="1"/>
        </w:numPr>
        <w:spacing w:before="0" w:after="40"/>
        <w:contextualSpacing/>
        <w:rPr/>
      </w:pPr>
      <w:r>
        <w:rPr/>
        <w:t>Zoho Books (29 Oct): the Commercial Invoice and Debit Note, buyer payments, supplier and logistics bills and payments, order expenses and costs, and export benefits received are sent to Zoho Books, and records deleted or changed in Books are brought back in line, each in the direction of its source. Nothing is sent before the go-live date. Every change made in Zoho is logged.</w:t>
      </w:r>
    </w:p>
    <w:p>
      <w:pPr>
        <w:pStyle w:val="ListBullet"/>
        <w:numPr>
          <w:ilvl w:val="0"/>
          <w:numId w:val="1"/>
        </w:numPr>
        <w:spacing w:before="0" w:after="40"/>
        <w:contextualSpacing/>
        <w:rPr/>
      </w:pPr>
      <w:r>
        <w:rPr/>
        <w:t>Stage documents (25 and 30 Oct): a stage completes only once its document is approved (email off) or sent to the buyer (email on). The step's button stays greyed out with a note saying what the document still needs.</w:t>
      </w:r>
    </w:p>
    <w:p>
      <w:pPr>
        <w:pStyle w:val="ListBullet"/>
        <w:numPr>
          <w:ilvl w:val="0"/>
          <w:numId w:val="1"/>
        </w:numPr>
        <w:spacing w:before="0" w:after="40"/>
        <w:contextualSpacing/>
        <w:rPr/>
      </w:pPr>
      <w:r>
        <w:rPr/>
        <w:t>Team incentives and associates (30 Oct): staff earn a team incentive on an order whose profit reaches the minimum, and an outside associate earns the commission in their agreement on the clients they introduced. Both are fixed when the buyer has fully paid, become the order's commission cost and are paid monthly. These are separate from the government export incentives in section 6.</w:t>
      </w:r>
    </w:p>
    <w:p>
      <w:pPr>
        <w:pStyle w:val="ListBullet"/>
        <w:numPr>
          <w:ilvl w:val="0"/>
          <w:numId w:val="1"/>
        </w:numPr>
        <w:spacing w:before="0" w:after="40"/>
        <w:contextualSpacing/>
        <w:rPr/>
      </w:pPr>
      <w:r>
        <w:rPr/>
        <w:t>Buyer's PO received date (30 Oct): Step 04B records the date the signed PO was received (or the day the buyer uploaded it). It is Day 1 of an associate's 10 days.</w:t>
      </w:r>
    </w:p>
    <w:p>
      <w:pPr>
        <w:pStyle w:val="Heading1"/>
        <w:rPr/>
      </w:pPr>
      <w:r>
        <w:rPr/>
        <w:t>16. Where each step is in the application</w:t>
      </w:r>
    </w:p>
    <w:p>
      <w:pPr>
        <w:pStyle w:val="Normal"/>
        <w:spacing w:before="0" w:after="120"/>
        <w:rPr/>
      </w:pPr>
      <w:r>
        <w:rPr/>
        <w:t>The application numbers its steps 1 to 13 on the order page. The steps of this specification map to them as follows.</w:t>
      </w:r>
    </w:p>
    <w:p>
      <w:pPr>
        <w:pStyle w:val="ListBullet"/>
        <w:numPr>
          <w:ilvl w:val="0"/>
          <w:numId w:val="1"/>
        </w:numPr>
        <w:spacing w:before="0" w:after="40"/>
        <w:contextualSpacing/>
        <w:rPr/>
      </w:pPr>
      <w:r>
        <w:rPr/>
        <w:t>00 Send quotation details link: Quotation Intake (the client's quotation-details form), before Step 1.</w:t>
      </w:r>
    </w:p>
    <w:p>
      <w:pPr>
        <w:pStyle w:val="ListBullet"/>
        <w:numPr>
          <w:ilvl w:val="0"/>
          <w:numId w:val="1"/>
        </w:numPr>
        <w:spacing w:before="0" w:after="40"/>
        <w:contextualSpacing/>
        <w:rPr/>
      </w:pPr>
      <w:r>
        <w:rPr/>
        <w:t>01 to 03 Quotation, send, buyer acceptance: Steps 1 to 3 (with the payment-terms approval in Step 1 where required).</w:t>
      </w:r>
    </w:p>
    <w:p>
      <w:pPr>
        <w:pStyle w:val="ListBullet"/>
        <w:numPr>
          <w:ilvl w:val="0"/>
          <w:numId w:val="1"/>
        </w:numPr>
        <w:spacing w:before="0" w:after="40"/>
        <w:contextualSpacing/>
        <w:rPr/>
      </w:pPr>
      <w:r>
        <w:rPr/>
        <w:t>04A Buyer PO: Step 4a. 04B Signed document: Steps 4b (Buyer Action Link), 4c (attach copy) and 4d (confirm, with the date received).</w:t>
      </w:r>
    </w:p>
    <w:p>
      <w:pPr>
        <w:pStyle w:val="ListBullet"/>
        <w:numPr>
          <w:ilvl w:val="0"/>
          <w:numId w:val="1"/>
        </w:numPr>
        <w:spacing w:before="0" w:after="40"/>
        <w:contextualSpacing/>
        <w:rPr/>
      </w:pPr>
      <w:r>
        <w:rPr/>
        <w:t>04C to 04E PI details link, submission and approval: Steps 5a and 5b.</w:t>
      </w:r>
    </w:p>
    <w:p>
      <w:pPr>
        <w:pStyle w:val="ListBullet"/>
        <w:numPr>
          <w:ilvl w:val="0"/>
          <w:numId w:val="1"/>
        </w:numPr>
        <w:spacing w:before="0" w:after="40"/>
        <w:contextualSpacing/>
        <w:rPr/>
      </w:pPr>
      <w:r>
        <w:rPr/>
        <w:t>05 and 05A PI: Step 5c. 05B to 05F Advance, proof, verification and clearance: Steps 5d and 5e (the buyer uploads proof through the Payment Action Link).</w:t>
      </w:r>
    </w:p>
    <w:p>
      <w:pPr>
        <w:pStyle w:val="ListBullet"/>
        <w:numPr>
          <w:ilvl w:val="0"/>
          <w:numId w:val="1"/>
        </w:numPr>
        <w:spacing w:before="0" w:after="40"/>
        <w:contextualSpacing/>
        <w:rPr/>
      </w:pPr>
      <w:r>
        <w:rPr/>
        <w:t>05-1A and 05-1B LC: Steps 5d and 5e on LC orders; the LC payment received is recorded with the LC and bank loan costs. 05-2A to 05-3A Bank loan and interest: Step 12a, LC / bank loan costs.</w:t>
      </w:r>
    </w:p>
    <w:p>
      <w:pPr>
        <w:pStyle w:val="ListBullet"/>
        <w:numPr>
          <w:ilvl w:val="0"/>
          <w:numId w:val="1"/>
        </w:numPr>
        <w:spacing w:before="0" w:after="40"/>
        <w:contextualSpacing/>
        <w:rPr/>
      </w:pPr>
      <w:r>
        <w:rPr/>
        <w:t>06 and 06A Order Confirmation: Steps 6a to 6c. 06B and 06C ECGC: the Compliance Checklist (after the OC) and the ECGC cost in Step 12a.</w:t>
      </w:r>
    </w:p>
    <w:p>
      <w:pPr>
        <w:pStyle w:val="ListBullet"/>
        <w:numPr>
          <w:ilvl w:val="0"/>
          <w:numId w:val="1"/>
        </w:numPr>
        <w:spacing w:before="0" w:after="40"/>
        <w:contextualSpacing/>
        <w:rPr/>
      </w:pPr>
      <w:r>
        <w:rPr/>
        <w:t>07 and 07A Supplier PO and acknowledgement: Steps 7a to 7e (7e is the supplier advance).</w:t>
      </w:r>
    </w:p>
    <w:p>
      <w:pPr>
        <w:pStyle w:val="ListBullet"/>
        <w:numPr>
          <w:ilvl w:val="0"/>
          <w:numId w:val="1"/>
        </w:numPr>
        <w:spacing w:before="0" w:after="40"/>
        <w:contextualSpacing/>
        <w:rPr/>
      </w:pPr>
      <w:r>
        <w:rPr/>
        <w:t>08 to 09A Estimated completion, 7-day inspection reminder, production, inspection: Step 8a and the Compliance Checklist (pre-shipment inspection).</w:t>
      </w:r>
    </w:p>
    <w:p>
      <w:pPr>
        <w:pStyle w:val="ListBullet"/>
        <w:numPr>
          <w:ilvl w:val="0"/>
          <w:numId w:val="1"/>
        </w:numPr>
        <w:spacing w:before="0" w:after="40"/>
        <w:contextualSpacing/>
        <w:rPr/>
      </w:pPr>
      <w:r>
        <w:rPr/>
        <w:t>Leg 1 / Leg 2: not separate branches in the application. The payment preset sets the terms; freight on CFR / CIF orders is Steps 9a to 9d, the goods balance is Steps 11a to 11d, and on FOB orders the CI can be raised before shipment. The supplier balance is Step 10a, before packing.</w:t>
      </w:r>
    </w:p>
    <w:p>
      <w:pPr>
        <w:pStyle w:val="ListBullet"/>
        <w:numPr>
          <w:ilvl w:val="0"/>
          <w:numId w:val="1"/>
        </w:numPr>
        <w:spacing w:before="0" w:after="40"/>
        <w:contextualSpacing/>
        <w:rPr/>
      </w:pPr>
      <w:r>
        <w:rPr/>
        <w:t>09G to 09K Packing list, BL instructions, CHA, draft BL, final documents: Steps 10b to 10f, with the Shipping Bill under 10f.</w:t>
      </w:r>
    </w:p>
    <w:p>
      <w:pPr>
        <w:pStyle w:val="ListBullet"/>
        <w:numPr>
          <w:ilvl w:val="0"/>
          <w:numId w:val="1"/>
        </w:numPr>
        <w:spacing w:before="0" w:after="40"/>
        <w:contextualSpacing/>
        <w:rPr/>
      </w:pPr>
      <w:r>
        <w:rPr/>
        <w:t>10A to 10E Final CI and goods balance: Steps 11a to 11d.</w:t>
      </w:r>
    </w:p>
    <w:p>
      <w:pPr>
        <w:pStyle w:val="ListBullet"/>
        <w:numPr>
          <w:ilvl w:val="0"/>
          <w:numId w:val="1"/>
        </w:numPr>
        <w:spacing w:before="0" w:after="40"/>
        <w:contextualSpacing/>
        <w:rPr/>
      </w:pPr>
      <w:r>
        <w:rPr/>
        <w:t>11A Order expenses: Step 12a. 11B and 11C Final document package and client closure: Steps 13a to 13f (13f Close Order).</w:t>
      </w:r>
    </w:p>
    <w:p>
      <w:pPr>
        <w:pStyle w:val="ListBullet"/>
        <w:numPr>
          <w:ilvl w:val="0"/>
          <w:numId w:val="1"/>
        </w:numPr>
        <w:spacing w:before="0" w:after="40"/>
        <w:contextualSpacing/>
        <w:rPr/>
      </w:pPr>
      <w:r>
        <w:rPr/>
        <w:t>11D to 11F Government benefits: Step 12b (eligibility) and Step 13g (claimed and received). 11G Final reconciliation: Step 12c and the App vs Zoho Books check. 11H Fully closed: Step 13h, Mark Fully Settled.</w:t>
      </w:r>
    </w:p>
    <w:p>
      <w:pPr>
        <w:pStyle w:val="Normal"/>
        <w:spacing w:before="0" w:after="200"/>
        <w:jc w:val="center"/>
        <w:rPr/>
      </w:pPr>
      <w:r>
        <w:rPr>
          <w:i/>
          <w:color w:val="646464"/>
        </w:rPr>
        <w:t>End of specification</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08" w:right="1008" w:gutter="0" w:header="72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6"/>
      </w:rPr>
      <w:t>Application Workflow Specification  •  Developer Review Copy</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6"/>
      </w:rPr>
      <w:t>Application Workflow Specification  •  Developer Review Copy</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46464"/>
        <w:sz w:val="16"/>
      </w:rPr>
      <w:t>NEXACREST INTERNATIONAL  |  EXPORT ORDER APPLICATION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46464"/>
        <w:sz w:val="16"/>
      </w:rPr>
      <w:t>NEXACREST INTERNATIONAL  |  EXPORT ORDER APPLICATION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ptos" w:hAnsi="Aptos" w:eastAsia="" w:cs="" w:cstheme="minorBidi" w:eastAsiaTheme="minorEastAsia"/>
      <w:color w:val="auto"/>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1F4E79"/>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1F4E79"/>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themeColor="text2" w:themeShade="bf" w:val="17365D"/>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12</Pages>
  <Words>923</Words>
  <Characters>4311</Characters>
  <CharactersWithSpaces>5177</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2026-10-30T05:13:29Z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