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QUOTATION</w:t>
            </w:r>
          </w:p>
          <w:p>
            <w:pPr>
              <w:jc w:val="right"/>
            </w:pPr>
            <w:r>
              <w:rPr>
                <w:rFonts w:ascii="Aptos" w:cs="Aptos" w:eastAsia="Aptos" w:hAnsi="Aptos"/>
                <w:b/>
                <w:bCs/>
                <w:color w:val="5B6573"/>
                <w:sz w:val="20"/>
                <w:szCs w:val="20"/>
              </w:rPr>
              <w:t xml:space="preserve">FOB CHENNAI, INDIA</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QUOTATION NO. *</w:t>
            </w:r>
          </w:p>
          <w:p>
            <w:r>
              <w:rPr>
                <w:rFonts w:ascii="Aptos" w:cs="Aptos" w:eastAsia="Aptos" w:hAnsi="Aptos"/>
                <w:b/>
                <w:bCs/>
                <w:color w:val="17233A"/>
                <w:sz w:val="20"/>
                <w:szCs w:val="20"/>
              </w:rPr>
              <w:t xml:space="preserve">[SC/QT/YYYY/DDMMNNN Rev.00]</w:t>
            </w:r>
          </w:p>
        </w:tc>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VALID UNTIL *   </w:t>
            </w:r>
            <w:r>
              <w:rPr>
                <w:rFonts w:ascii="Aptos" w:cs="Aptos" w:eastAsia="Aptos" w:hAnsi="Aptos"/>
                <w:b/>
                <w:bCs/>
                <w:color w:val="412402"/>
                <w:sz w:val="22"/>
                <w:szCs w:val="22"/>
              </w:rPr>
              <w:t xml:space="preserve">[DD Month YYYY — 30 days from quotation date]</w:t>
            </w:r>
            <w:r>
              <w:rPr>
                <w:rFonts w:ascii="Aptos" w:cs="Aptos" w:eastAsia="Aptos" w:hAnsi="Aptos"/>
                <w:i/>
                <w:iCs/>
                <w:color w:val="854F0B"/>
                <w:sz w:val="17"/>
                <w:szCs w:val="17"/>
              </w:rPr>
              <w:t xml:space="preserve">     Prices and terms are not valid after this date.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SELLER / EXPORTER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 CONSIGNEE DETAILS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shd w:fill="FFFFFF" w:val="clear"/>
            <w:tcMar>
              <w:top w:type="dxa" w:w="100"/>
              <w:left w:type="dxa" w:w="160"/>
              <w:bottom w:type="dxa" w:w="100"/>
              <w:right w:type="dxa" w:w="160"/>
            </w:tcMar>
          </w:tcPr>
          <w:p>
            <w:pPr>
              <w:spacing w:after="40"/>
            </w:pPr>
            <w:r>
              <w:rPr>
                <w:rFonts w:ascii="Aptos" w:cs="Aptos" w:eastAsia="Aptos" w:hAnsi="Aptos"/>
                <w:b/>
                <w:bCs/>
                <w:color w:val="17233A"/>
                <w:sz w:val="19"/>
                <w:szCs w:val="19"/>
              </w:rPr>
              <w:t xml:space="preserve">Company Legal Name</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[Exact legal name as per company registration]</w:t>
            </w:r>
          </w:p>
          <w:p>
            <w:pPr>
              <w:spacing w:after="80" w:before="0"/>
            </w:pPr>
          </w:p>
          <w:p>
            <w:pPr>
              <w:spacing w:after="40"/>
            </w:pPr>
            <w:r>
              <w:rPr>
                <w:rFonts w:ascii="Aptos" w:cs="Aptos" w:eastAsia="Aptos" w:hAnsi="Aptos"/>
                <w:b/>
                <w:bCs/>
                <w:color w:val="17233A"/>
                <w:sz w:val="19"/>
                <w:szCs w:val="19"/>
              </w:rPr>
              <w:t xml:space="preserve">Billing Address</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[Full address including postcode / postal code]</w:t>
            </w:r>
          </w:p>
          <w:p>
            <w:pPr>
              <w:spacing w:after="80" w:before="0"/>
            </w:pPr>
          </w:p>
          <w:p>
            <w:pPr>
              <w:spacing w:after="40"/>
            </w:pPr>
            <w:r>
              <w:rPr>
                <w:rFonts w:ascii="Aptos" w:cs="Aptos" w:eastAsia="Aptos" w:hAnsi="Aptos"/>
                <w:b/>
                <w:bCs/>
                <w:color w:val="17233A"/>
                <w:sz w:val="19"/>
                <w:szCs w:val="19"/>
              </w:rPr>
              <w:t xml:space="preserve">Consignee Name</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[If different from Company Legal Name — write SAME if identical]</w:t>
            </w:r>
          </w:p>
          <w:p>
            <w:pPr>
              <w:spacing w:after="80" w:before="0"/>
            </w:pPr>
          </w:p>
          <w:p>
            <w:pPr>
              <w:spacing w:after="40"/>
            </w:pPr>
            <w:r>
              <w:rPr>
                <w:rFonts w:ascii="Aptos" w:cs="Aptos" w:eastAsia="Aptos" w:hAnsi="Aptos"/>
                <w:b/>
                <w:bCs/>
                <w:color w:val="17233A"/>
                <w:sz w:val="19"/>
                <w:szCs w:val="19"/>
              </w:rPr>
              <w:t xml:space="preserve">Consignee Address</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[If different from Billing Address — write SAME if identical — appears on Bill of Lading]</w:t>
            </w:r>
          </w:p>
          <w:p>
            <w:pPr>
              <w:spacing w:after="80" w:before="0"/>
            </w:pPr>
          </w:p>
          <w:p>
            <w:pPr>
              <w:spacing w:after="40"/>
            </w:pPr>
            <w:r>
              <w:rPr>
                <w:rFonts w:ascii="Aptos" w:cs="Aptos" w:eastAsia="Aptos" w:hAnsi="Aptos"/>
                <w:b/>
                <w:bCs/>
                <w:color w:val="17233A"/>
                <w:sz w:val="19"/>
                <w:szCs w:val="19"/>
              </w:rPr>
              <w:t xml:space="preserve">VAT / EORI / Tax Reg. No.</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[UK: EORI No.  |  France: SIRET + TVA No.  |  Norway: Org. No. + MVA  |  Other EU: VAT ID]</w:t>
            </w:r>
          </w:p>
          <w:p>
            <w:pPr>
              <w:spacing w:after="80" w:before="0"/>
            </w:pPr>
          </w:p>
          <w:p>
            <w:pPr>
              <w:spacing w:after="40"/>
            </w:pPr>
            <w:r>
              <w:rPr>
                <w:rFonts w:ascii="Aptos" w:cs="Aptos" w:eastAsia="Aptos" w:hAnsi="Aptos"/>
                <w:b/>
                <w:bCs/>
                <w:color w:val="17233A"/>
                <w:sz w:val="19"/>
                <w:szCs w:val="19"/>
              </w:rPr>
              <w:t xml:space="preserve">Country of Destination</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[UK / France / Norway / Germany / Other]</w:t>
            </w:r>
          </w:p>
          <w:p>
            <w:pPr>
              <w:spacing w:after="80" w:before="0"/>
            </w:pPr>
          </w:p>
          <w:p>
            <w:pPr>
              <w:spacing w:after="40"/>
            </w:pPr>
            <w:r>
              <w:rPr>
                <w:rFonts w:ascii="Aptos" w:cs="Aptos" w:eastAsia="Aptos" w:hAnsi="Aptos"/>
                <w:b/>
                <w:bCs/>
                <w:color w:val="17233A"/>
                <w:sz w:val="19"/>
                <w:szCs w:val="19"/>
              </w:rPr>
              <w:t xml:space="preserve">Certificate of Origin Type</w:t>
            </w:r>
          </w:p>
          <w:p>
            <w:pPr>
              <w:spacing w:after="0"/>
            </w:pPr>
            <w:r>
              <w:rPr>
                <w:rFonts w:ascii="Aptos" w:cs="Aptos" w:eastAsia="Aptos" w:hAnsi="Aptos"/>
                <w:i/>
                <w:iCs/>
                <w:color w:val="5B6573"/>
                <w:sz w:val="19"/>
                <w:szCs w:val="19"/>
              </w:rPr>
              <w:t xml:space="preserve">[GSP Form A (preferential)  /  Non-preferential  — if unsure, your customs broker will advise]</w:t>
            </w:r>
          </w:p>
        </w:tc>
        <w:tc>
          <w:tcPr>
            <w:tcW w:type="dxa" w:w="4819"/>
            <w:tcBorders>
              <w:top w:val="single" w:color="D0D8E4" w:sz="2"/>
              <w:left w:val="single" w:color="D0D8E4" w:sz="2"/>
              <w:bottom w:val="single" w:color="D0D8E4" w:sz="2"/>
              <w:right w:val="single" w:color="D0D8E4" w:sz="2"/>
            </w:tcBorders>
            <w:shd w:fill="F1F5F9" w:val="clear"/>
            <w:tcMar>
              <w:top w:type="dxa" w:w="100"/>
              <w:left w:type="dxa" w:w="160"/>
              <w:bottom w:type="dxa" w:w="100"/>
              <w:right w:type="dxa" w:w="160"/>
            </w:tcMar>
          </w:tcPr>
          <w:p>
            <w:pPr>
              <w:spacing w:after="40"/>
            </w:pPr>
            <w:r>
              <w:rPr>
                <w:rFonts w:ascii="Aptos" w:cs="Aptos" w:eastAsia="Aptos" w:hAnsi="Aptos"/>
                <w:b/>
                <w:bCs/>
                <w:color w:val="17233A"/>
                <w:sz w:val="19"/>
                <w:szCs w:val="19"/>
              </w:rPr>
              <w:t xml:space="preserve">Contact Person</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[Full name]</w:t>
            </w:r>
          </w:p>
          <w:p>
            <w:pPr>
              <w:spacing w:after="80" w:before="0"/>
            </w:pPr>
          </w:p>
          <w:p>
            <w:pPr>
              <w:spacing w:after="40"/>
            </w:pPr>
            <w:r>
              <w:rPr>
                <w:rFonts w:ascii="Aptos" w:cs="Aptos" w:eastAsia="Aptos" w:hAnsi="Aptos"/>
                <w:b/>
                <w:bCs/>
                <w:color w:val="17233A"/>
                <w:sz w:val="19"/>
                <w:szCs w:val="19"/>
              </w:rPr>
              <w:t xml:space="preserve">Email</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[buyer@email.com]</w:t>
            </w:r>
          </w:p>
          <w:p>
            <w:pPr>
              <w:spacing w:after="80" w:before="0"/>
            </w:pPr>
          </w:p>
          <w:p>
            <w:pPr>
              <w:spacing w:after="40"/>
            </w:pPr>
            <w:r>
              <w:rPr>
                <w:rFonts w:ascii="Aptos" w:cs="Aptos" w:eastAsia="Aptos" w:hAnsi="Aptos"/>
                <w:b/>
                <w:bCs/>
                <w:color w:val="17233A"/>
                <w:sz w:val="19"/>
                <w:szCs w:val="19"/>
              </w:rPr>
              <w:t xml:space="preserve">Phone</w:t>
            </w:r>
          </w:p>
          <w:p>
            <w:pPr>
              <w:spacing w:after="0"/>
            </w:pPr>
            <w:r>
              <w:rPr>
                <w:rFonts w:ascii="Aptos" w:cs="Aptos" w:eastAsia="Aptos" w:hAnsi="Aptos"/>
                <w:i/>
                <w:iCs/>
                <w:color w:val="5B6573"/>
                <w:sz w:val="19"/>
                <w:szCs w:val="19"/>
              </w:rPr>
              <w:t xml:space="preserve">[+country code number]</w:t>
            </w:r>
          </w:p>
          <w:p>
            <w:pPr>
              <w:spacing w:after="80" w:before="0"/>
            </w:pPr>
          </w:p>
          <w:p>
            <w:pPr>
              <w:spacing w:after="40"/>
            </w:pPr>
            <w:r>
              <w:rPr>
                <w:rFonts w:ascii="Aptos" w:cs="Aptos" w:eastAsia="Aptos" w:hAnsi="Aptos"/>
                <w:b/>
                <w:bCs/>
                <w:color w:val="17233A"/>
                <w:sz w:val="19"/>
                <w:szCs w:val="19"/>
              </w:rPr>
              <w:t xml:space="preserve">Port of Discharge</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[e.g., Tilbury, UK  |  Marseille, France  |  Oslo, Norway]</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PRODUCT / ORDER DETAILS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200"/>
        <w:gridCol w:w="700"/>
        <w:gridCol w:w="700"/>
        <w:gridCol w:w="1400"/>
        <w:gridCol w:w="2258"/>
      </w:tblGrid>
      <w:tr>
        <w:tc>
          <w:tcPr>
            <w:tcW w:type="dxa" w:w="380"/>
            <w:tcBorders>
              <w:top w:val="single" w:color="D0D8E4" w:sz="2"/>
              <w:left w:val="single" w:color="D0D8E4" w:sz="2"/>
              <w:bottom w:val="single" w:color="D0D8E4" w:sz="2"/>
              <w:right w:val="single" w:color="D0D8E4" w:sz="2"/>
            </w:tcBorders>
            <w:shd w:fill="173B73" w:val="clear"/>
            <w:tcMar>
              <w:top w:type="dxa" w:w="90"/>
              <w:left w:type="dxa" w:w="60"/>
              <w:bottom w:type="dxa" w:w="90"/>
              <w:right w:type="dxa" w:w="100"/>
            </w:tcMar>
          </w:tcPr>
          <w:p>
            <w:pPr>
              <w:jc w:val="center"/>
            </w:pPr>
            <w:r>
              <w:rPr>
                <w:rFonts w:ascii="Aptos" w:cs="Aptos" w:eastAsia="Aptos" w:hAnsi="Aptos"/>
                <w:b/>
                <w:bCs/>
                <w:color w:val="FFFFFF"/>
                <w:sz w:val="18"/>
                <w:szCs w:val="18"/>
              </w:rPr>
              <w:t xml:space="preserve">#</w:t>
            </w:r>
          </w:p>
        </w:tc>
        <w:tc>
          <w:tcPr>
            <w:tcW w:type="dxa" w:w="42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Product Description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Qty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Price (USD) *</w:t>
            </w:r>
          </w:p>
        </w:tc>
        <w:tc>
          <w:tcPr>
            <w:tcW w:type="dxa" w:w="2258"/>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Amount (USD) *</w:t>
            </w:r>
          </w:p>
        </w:tc>
      </w:tr>
      <w:tr>
        <w:tc>
          <w:tcPr>
            <w:tcW w:type="dxa" w:w="380"/>
            <w:tcBorders>
              <w:top w:val="single" w:color="D0D8E4" w:sz="2"/>
              <w:left w:val="single" w:color="1D6FA8"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1D6FA8"/>
                <w:sz w:val="20"/>
                <w:szCs w:val="20"/>
              </w:rPr>
              <w:t xml:space="preserve">1</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[Product description — must match Quotation exactly]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 / TBC]</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[m² / pcs / set / CBM / kg]</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per unit / m² / set]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[Qty × Price / TBC]</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[For monument sets: list components here exactly as per Quotation — e.g., 1. Left frame 210×5×28 cm]</w:t>
            </w:r>
          </w:p>
        </w:tc>
      </w:tr>
      <w:tr>
        <w:tc>
          <w:tcPr>
            <w:tcW w:type="dxa" w:w="9638"/>
            <w:gridSpan w:val="6"/>
            <w:tcBorders>
              <w:top w:val="none" w:color="auto" w:sz="0"/>
              <w:left w:val="single" w:color="1D6FA8" w:sz="18" w:space="0"/>
              <w:bottom w:val="none" w:color="auto" w:sz="0"/>
              <w:right w:val="single" w:color="D0D8E4" w:sz="2"/>
            </w:tcBorders>
            <w:shd w:fill="F1F5F9" w:val="clear"/>
            <w:tcMar>
              <w:top w:type="dxa" w:w="50"/>
              <w:left w:type="dxa" w:w="200"/>
              <w:bottom w:type="dxa" w:w="50"/>
              <w:right w:type="dxa" w:w="120"/>
            </w:tcMar>
          </w:tcPr>
          <w:p>
            <w:r>
              <w:rPr>
                <w:rFonts w:ascii="Aptos" w:cs="Aptos" w:eastAsia="Aptos" w:hAnsi="Aptos"/>
                <w:color w:val="333333"/>
                <w:sz w:val="17"/>
                <w:szCs w:val="17"/>
              </w:rPr>
              <w:t xml:space="preserve">[For slabs/blocks/raw: delete these spec rows]</w:t>
            </w:r>
          </w:p>
        </w:tc>
      </w:tr>
      <w:tr>
        <w:tc>
          <w:tcPr>
            <w:tcW w:type="dxa" w:w="9638"/>
            <w:gridSpan w:val="6"/>
            <w:tcBorders>
              <w:top w:val="none" w:color="auto" w:sz="0"/>
              <w:left w:val="single" w:color="1D6FA8"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1D6FA8"/>
                <w:sz w:val="17"/>
                <w:szCs w:val="17"/>
              </w:rPr>
              <w:t xml:space="preserve">1.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[L × W × H cm]</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[e.g., Mirror Polished]</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r>
        <w:tc>
          <w:tcPr>
            <w:tcW w:type="dxa" w:w="380"/>
            <w:tcBorders>
              <w:top w:val="single" w:color="D0D8E4" w:sz="2"/>
              <w:left w:val="single" w:color="2D7D56"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2D7D56"/>
                <w:sz w:val="20"/>
                <w:szCs w:val="20"/>
              </w:rPr>
              <w:t xml:space="preserve">2</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[Second product if applicable — delete if single product only]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 / TBC]</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[unit]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per unit / m² / set]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[Qty × Price / TBC]</w:t>
            </w:r>
          </w:p>
        </w:tc>
      </w:tr>
      <w:tr>
        <w:tc>
          <w:tcPr>
            <w:tcW w:type="dxa" w:w="9638"/>
            <w:gridSpan w:val="6"/>
            <w:tcBorders>
              <w:top w:val="none" w:color="auto" w:sz="0"/>
              <w:left w:val="single" w:color="2D7D56"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2D7D56"/>
                <w:sz w:val="17"/>
                <w:szCs w:val="17"/>
              </w:rPr>
              <w:t xml:space="preserve">2.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[L × W × H cm]</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[Finish]</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FOB Value (USD) *</w:t>
            </w:r>
            <w:r>
              <w:rPr>
                <w:rFonts w:ascii="Aptos" w:cs="Aptos" w:eastAsia="Aptos" w:hAnsi="Aptos"/>
                <w:b/>
                <w:bCs/>
                <w:color w:val="C0392B"/>
                <w:sz w:val="19"/>
                <w:szCs w:val="19"/>
              </w:rPr>
              <w:t xml:space="preserve"> *</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iCs/>
                <w:color w:val="5B6573"/>
                <w:sz w:val="18"/>
                <w:szCs w:val="18"/>
              </w:rPr>
              <w:t xml:space="preserve">[Sum of all product line amounts above]</w:t>
            </w:r>
            <w:r>
              <w:rPr>
                <w:rFonts w:ascii="Aptos" w:cs="Aptos" w:eastAsia="Aptos" w:hAnsi="Aptos"/>
                <w:b/>
                <w:bCs/>
                <w:color w:val="C0392B"/>
                <w:sz w:val="19"/>
                <w:szCs w:val="19"/>
              </w:rPr>
              <w:t xml:space="preserve"> *</w:t>
            </w:r>
          </w:p>
        </w:tc>
      </w:tr>
      <w:tr>
        <w:tc>
          <w:tcPr>
            <w:tcW w:type="dxa" w:w="559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Freight (USD)</w:t>
            </w:r>
          </w:p>
        </w:tc>
        <w:tc>
          <w:tcPr>
            <w:tcW w:type="dxa" w:w="4048"/>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 NIL — freight arranged by buyer.
CFR/CIF: Indicative approx. USD [XXX–XXX] per 20ft FCL, Chennai to [Port of Discharge]. Subject to confirmation at time of booking. Actual freight confirmed and recovered IN ADVANCE by Freight Debit Note when cargo is packed and ready — payment required within 3 working days, and must be received BEFORE shipment booking is confirmed.</w:t>
            </w:r>
          </w:p>
        </w:tc>
      </w:tr>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Insurance (USD)</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FOB/CFR: NIL — buyer's responsibility.
CIF: Indicative approx. USD [XX–XX]. Confirmed by Freight Debit Note when cargo is ready.</w:t>
            </w:r>
          </w:p>
        </w:tc>
      </w:tr>
      <w:tr>
        <w:tc>
          <w:tcPr>
            <w:tcW w:type="dxa" w:w="5590"/>
            <w:tcBorders>
              <w:top w:val="single" w:color="D0D8E4" w:sz="2"/>
              <w:left w:val="single" w:color="D0D8E4" w:sz="2"/>
              <w:bottom w:val="single" w:color="D0D8E4" w:sz="2"/>
              <w:right w:val="single" w:color="D0D8E4" w:sz="2"/>
            </w:tcBorders>
            <w:shd w:fill="17233A" w:val="clear"/>
            <w:tcMar>
              <w:top w:type="dxa" w:w="80"/>
              <w:left w:type="dxa" w:w="160"/>
              <w:bottom w:type="dxa" w:w="80"/>
              <w:right w:type="dxa" w:w="160"/>
            </w:tcMar>
          </w:tcPr>
          <w:p>
            <w:pPr>
              <w:jc w:val="right"/>
            </w:pPr>
            <w:r>
              <w:rPr>
                <w:rFonts w:ascii="Aptos" w:cs="Aptos" w:eastAsia="Aptos" w:hAnsi="Aptos"/>
                <w:b/>
                <w:bCs/>
                <w:color w:val="FFFFFF"/>
                <w:sz w:val="21"/>
                <w:szCs w:val="21"/>
              </w:rPr>
              <w:t xml:space="preserve">TOTAL QUOTED VALUE (USD)</w:t>
            </w:r>
          </w:p>
        </w:tc>
        <w:tc>
          <w:tcPr>
            <w:tcW w:type="dxa" w:w="4048"/>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60"/>
            </w:tcMar>
          </w:tcPr>
          <w:p>
            <w:pPr>
              <w:jc w:val="right"/>
            </w:pPr>
            <w:r>
              <w:rPr>
                <w:rFonts w:ascii="Aptos" w:cs="Aptos" w:eastAsia="Aptos" w:hAnsi="Aptos"/>
                <w:b/>
                <w:bCs/>
                <w:i/>
                <w:iCs/>
                <w:color w:val="FFFFFF"/>
                <w:sz w:val="21"/>
                <w:szCs w:val="21"/>
              </w:rPr>
              <w:t xml:space="preserve">[FOB + Freight + Insurance as applicable — if qty confirmed]
OR: Unit price as above × confirmed quantity. Total will be confirmed on Proforma Invoice once quantity is finalised.</w:t>
            </w:r>
          </w:p>
        </w:tc>
      </w:tr>
    </w:tbl>
    <w:p>
      <w:pPr>
        <w:spacing w:after="160" w:before="0"/>
      </w:pPr>
    </w:p>
    <w:p>
      <w:pPr>
        <w:spacing w:after="80"/>
      </w:pPr>
      <w:r>
        <w:rPr>
          <w:rFonts w:ascii="Aptos" w:cs="Aptos" w:eastAsia="Aptos" w:hAnsi="Aptos"/>
          <w:b/>
          <w:bCs/>
          <w:color w:val="17233A"/>
          <w:sz w:val="21"/>
          <w:szCs w:val="21"/>
        </w:rPr>
        <w:t xml:space="preserve">Weight &amp; Volume  </w:t>
      </w:r>
      <w:r>
        <w:rPr>
          <w:rFonts w:ascii="Aptos" w:cs="Aptos" w:eastAsia="Aptos" w:hAnsi="Aptos"/>
          <w:i/>
          <w:iCs/>
          <w:color w:val="5B6573"/>
          <w:sz w:val="18"/>
          <w:szCs w:val="18"/>
        </w:rPr>
        <w:t xml:space="preserve">(Estimated — actuals confirmed on Packing List after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4038"/>
        <w:gridCol w:w="1600"/>
      </w:tblGrid>
      <w:tr>
        <w:tc>
          <w:tcPr>
            <w:tcW w:type="dxa" w:w="40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Parameter</w:t>
            </w:r>
          </w:p>
        </w:tc>
        <w:tc>
          <w:tcPr>
            <w:tcW w:type="dxa" w:w="4038"/>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Estimated Value *</w:t>
            </w:r>
          </w:p>
        </w:tc>
        <w:tc>
          <w:tcPr>
            <w:tcW w:type="dxa" w:w="16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Unit</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Total CBM (m³)</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10.08]</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m³</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Gross Weight (incl. packing)</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[e.g., 24,000]</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Net Weight (stone only)</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22,000]</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No. of Packages / Crates</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TBD at packing</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Crates</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Package Type</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Wooden Crates</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SHIPPING / COMMERCIAL TERMS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b/>
                <w:bCs/>
                <w:sz w:val="19"/>
                <w:szCs w:val="19"/>
              </w:rPr>
              <w:t xml:space="preserve">FOB Chennai, India — Incoterms® 2020</w:t>
            </w:r>
            <w:r>
              <w:rPr>
                <w:rFonts w:ascii="Aptos" w:cs="Aptos" w:eastAsia="Aptos" w:hAnsi="Aptos"/>
                <w:i/>
                <w:iCs/>
                <w:color w:val="5B6573"/>
                <w:sz w:val="18"/>
                <w:szCs w:val="18"/>
              </w:rPr>
              <w:t xml:space="preserve">  [or CFR / CIF Named Port — Incoterms® 2020]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Tilbury UK  /  Marseille France  /  Oslo Norway — must match buyer section]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Container Type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[1 × 20ft FCL  /  1 × 40ft FCL — based on CBM above]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Est. Lead Time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4–6 weeks from advance payment receipt]</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Insurance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i/>
                <w:iCs/>
                <w:color w:val="5B6573"/>
                <w:sz w:val="19"/>
                <w:szCs w:val="19"/>
              </w:rPr>
              <w:t xml:space="preserve">FOB: Buyer's responsibility.  </w:t>
            </w:r>
            <w:r>
              <w:rPr>
                <w:rFonts w:ascii="Aptos" w:cs="Aptos" w:eastAsia="Aptos" w:hAnsi="Aptos"/>
                <w:i/>
                <w:iCs/>
                <w:color w:val="5B6573"/>
                <w:sz w:val="19"/>
                <w:szCs w:val="19"/>
              </w:rPr>
              <w:t xml:space="preserve">CIF: Seller arranges — cost included in invoice.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PAYMENT TERMS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 40% advance T/T on FOB Value against Proforma Invoice.</w:t>
            </w:r>
            <w:r>
              <w:rPr>
                <w:rFonts w:ascii="Aptos" w:cs="Aptos" w:eastAsia="Aptos" w:hAnsi="Aptos"/>
                <w:b/>
                <w:bCs/>
                <w:color w:val="C0392B"/>
                <w:sz w:val="19"/>
                <w:szCs w:val="19"/>
              </w:rPr>
              <w:t xml:space="preserve">  *</w:t>
            </w:r>
          </w:p>
          <w:p>
            <w:pPr>
              <w:spacing w:after="80"/>
            </w:pPr>
            <w:r>
              <w:rPr>
                <w:rFonts w:ascii="Aptos" w:cs="Aptos" w:eastAsia="Aptos" w:hAnsi="Aptos"/>
                <w:color w:val="333333"/>
                <w:sz w:val="19"/>
                <w:szCs w:val="19"/>
              </w:rPr>
              <w:t xml:space="preserve">  40% Advance Amount:   USD [XXXXX.XX  =  FOB Value × 0.40]</w:t>
            </w:r>
            <w:r>
              <w:rPr>
                <w:rFonts w:ascii="Aptos" w:cs="Aptos" w:eastAsia="Aptos" w:hAnsi="Aptos"/>
                <w:b/>
                <w:bCs/>
                <w:color w:val="C0392B"/>
                <w:sz w:val="19"/>
                <w:szCs w:val="19"/>
              </w:rPr>
              <w:t xml:space="preserve">  *</w:t>
            </w:r>
          </w:p>
          <w:p>
            <w:pPr>
              <w:spacing w:after="80"/>
            </w:pPr>
            <w:r>
              <w:rPr>
                <w:rFonts w:ascii="Aptos" w:cs="Aptos" w:eastAsia="Aptos" w:hAnsi="Aptos"/>
                <w:b/>
                <w:bCs/>
                <w:sz w:val="19"/>
                <w:szCs w:val="19"/>
              </w:rPr>
              <w:t xml:space="preserve">• 60% balance T/T on FOB Value payable before shipment — within 3 working days of receiving shipment readiness confirmation from NexaCrest.</w:t>
            </w:r>
            <w:r>
              <w:rPr>
                <w:rFonts w:ascii="Aptos" w:cs="Aptos" w:eastAsia="Aptos" w:hAnsi="Aptos"/>
                <w:b/>
                <w:bCs/>
                <w:color w:val="C0392B"/>
                <w:sz w:val="19"/>
                <w:szCs w:val="19"/>
              </w:rPr>
              <w:t xml:space="preserve">  *</w:t>
            </w:r>
          </w:p>
          <w:p>
            <w:pPr>
              <w:spacing w:after="80"/>
            </w:pPr>
            <w:r>
              <w:rPr>
                <w:rFonts w:ascii="Aptos" w:cs="Aptos" w:eastAsia="Aptos" w:hAnsi="Aptos"/>
                <w:color w:val="333333"/>
                <w:sz w:val="19"/>
                <w:szCs w:val="19"/>
              </w:rPr>
              <w:t xml:space="preserve">  60% Balance Amount:   USD [XXXXX.XX  =  FOB Value minus 40% advance received]</w:t>
            </w:r>
            <w:r>
              <w:rPr>
                <w:rFonts w:ascii="Aptos" w:cs="Aptos" w:eastAsia="Aptos" w:hAnsi="Aptos"/>
                <w:b/>
                <w:bCs/>
                <w:color w:val="C0392B"/>
                <w:sz w:val="19"/>
                <w:szCs w:val="19"/>
              </w:rPr>
              <w:t xml:space="preserve">  *</w:t>
            </w:r>
          </w:p>
          <w:p>
            <w:pPr>
              <w:spacing w:after="80"/>
            </w:pPr>
            <w:r>
              <w:rPr>
                <w:rFonts w:ascii="Aptos" w:cs="Aptos" w:eastAsia="Aptos" w:hAnsi="Aptos"/>
                <w:b/>
                <w:bCs/>
                <w:sz w:val="19"/>
                <w:szCs w:val="19"/>
              </w:rPr>
              <w:t xml:space="preserve">• Freight &amp; Insurance (CFR/CIF orders only): </w:t>
            </w:r>
            <w:r>
              <w:rPr>
                <w:rFonts w:ascii="Aptos" w:cs="Aptos" w:eastAsia="Aptos" w:hAnsi="Aptos"/>
                <w:color w:val="333333"/>
                <w:sz w:val="19"/>
                <w:szCs w:val="19"/>
              </w:rPr>
              <w:t xml:space="preserve">Actual confirmed amounts invoiced separately by Freight Debit Note before shipment booking is confirmed. Payment required within 3 working days of Freight Debit Note date.</w:t>
            </w:r>
          </w:p>
          <w:p>
            <w:r>
              <w:rPr>
                <w:rFonts w:ascii="Aptos" w:cs="Aptos" w:eastAsia="Aptos" w:hAnsi="Aptos"/>
                <w:b/>
                <w:bCs/>
                <w:sz w:val="19"/>
                <w:szCs w:val="19"/>
              </w:rPr>
              <w:t xml:space="preserve">  Currency: USD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DOCUMENTS TO BE PROVIDED</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Upon shipment, the following documents will be provided:</w:t>
            </w:r>
          </w:p>
          <w:p>
            <w:pPr>
              <w:spacing w:after="60"/>
            </w:pPr>
            <w:r>
              <w:rPr>
                <w:rFonts w:ascii="Aptos" w:cs="Aptos" w:eastAsia="Aptos" w:hAnsi="Aptos"/>
                <w:sz w:val="19"/>
                <w:szCs w:val="19"/>
              </w:rPr>
              <w:t xml:space="preserve">1.  Commercial Invoice (signed and stamped)</w:t>
            </w:r>
          </w:p>
          <w:p>
            <w:pPr>
              <w:spacing w:after="60"/>
            </w:pPr>
            <w:r>
              <w:rPr>
                <w:rFonts w:ascii="Aptos" w:cs="Aptos" w:eastAsia="Aptos" w:hAnsi="Aptos"/>
                <w:sz w:val="19"/>
                <w:szCs w:val="19"/>
              </w:rPr>
              <w:t xml:space="preserve">2.  Packing List (signed and stamped)</w:t>
            </w:r>
          </w:p>
          <w:p>
            <w:pPr>
              <w:spacing w:after="60"/>
            </w:pPr>
            <w:r>
              <w:rPr>
                <w:rFonts w:ascii="Aptos" w:cs="Aptos" w:eastAsia="Aptos" w:hAnsi="Aptos"/>
                <w:sz w:val="19"/>
                <w:szCs w:val="19"/>
              </w:rPr>
              <w:t xml:space="preserve">3.  Certificate of Origin — GSP Form A (preferential) or Non-preferential, as confirmed by buyer  |  Issued by CAPEXIL</w:t>
            </w:r>
          </w:p>
          <w:p>
            <w:pPr>
              <w:spacing w:after="60"/>
            </w:pPr>
            <w:r>
              <w:rPr>
                <w:rFonts w:ascii="Aptos" w:cs="Aptos" w:eastAsia="Aptos" w:hAnsi="Aptos"/>
                <w:sz w:val="19"/>
                <w:szCs w:val="19"/>
              </w:rPr>
              <w:t xml:space="preserve">4.  Bill of Lading — Original Negotiable, 3 originals  |  Released to buyer only after 60% balance T/T is received and cleared</w:t>
            </w:r>
          </w:p>
          <w:p>
            <w:r>
              <w:rPr>
                <w:rFonts w:ascii="Aptos" w:cs="Aptos" w:eastAsia="Aptos" w:hAnsi="Aptos"/>
                <w:sz w:val="19"/>
                <w:szCs w:val="19"/>
              </w:rPr>
              <w:t xml:space="preserve">5.  Fumigation Certificate — provided as standard with every shipment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TERMS &amp; CONDITIONS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r>
              <w:rPr>
                <w:rFonts w:ascii="Aptos" w:cs="Aptos" w:eastAsia="Aptos" w:hAnsi="Aptos"/>
                <w:b/>
                <w:bCs/>
                <w:color w:val="8A1F1F"/>
                <w:sz w:val="20"/>
                <w:szCs w:val="20"/>
              </w:rPr>
              <w:t xml:space="preserve">⚠  Annexure A — Product Technical Specifications is attached and forms an integral part of this Quotation. Refer Annexure A for product images, technical drawings, and component dimensions.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sz w:val="19"/>
                <w:szCs w:val="19"/>
              </w:rPr>
              <w:t xml:space="preserve">• Bank details for advance payment will be provided on the Proforma Invoice.</w:t>
            </w:r>
          </w:p>
          <w:p>
            <w:pPr>
              <w:spacing w:after="80"/>
            </w:pPr>
            <w:r>
              <w:rPr>
                <w:rFonts w:ascii="Aptos" w:cs="Aptos" w:eastAsia="Aptos" w:hAnsi="Aptos"/>
                <w:sz w:val="19"/>
                <w:szCs w:val="19"/>
              </w:rPr>
              <w:t xml:space="preserve">• This Quotation is valid for 30 days from the date of issue as shown in the Valid Until field above. After this date, prices and terms are subject to revision.</w:t>
            </w:r>
          </w:p>
          <w:p>
            <w:pPr>
              <w:spacing w:after="80"/>
            </w:pPr>
            <w:r>
              <w:rPr>
                <w:rFonts w:ascii="Aptos" w:cs="Aptos" w:eastAsia="Aptos" w:hAnsi="Aptos"/>
                <w:sz w:val="19"/>
                <w:szCs w:val="19"/>
              </w:rPr>
              <w:t xml:space="preserve">• All prices are in USD. FOB Chennai, India unless otherwise stated.</w:t>
            </w:r>
          </w:p>
          <w:p>
            <w:pPr>
              <w:spacing w:after="80"/>
            </w:pPr>
            <w:r>
              <w:rPr>
                <w:rFonts w:ascii="Aptos" w:cs="Aptos" w:eastAsia="Aptos" w:hAnsi="Aptos"/>
                <w:sz w:val="19"/>
                <w:szCs w:val="19"/>
              </w:rPr>
              <w:t xml:space="preserve">• CFR / CIF pricing: if required, indicative freight shown above is valid for 25 days from quotation date. Actual freight will be confirmed once cargo is packed and ready, and recovered IN ADVANCE by separate Freight Debit Note — payable within 3 working days of issue, and must be received BEFORE shipment booking is confirmed. NexaCrest cannot book the container or hand over cargo to the shipping line until freight payment is received and verified.</w:t>
            </w:r>
          </w:p>
          <w:p>
            <w:pPr>
              <w:spacing w:after="80"/>
            </w:pPr>
            <w:r>
              <w:rPr>
                <w:rFonts w:ascii="Aptos" w:cs="Aptos" w:eastAsia="Aptos" w:hAnsi="Aptos"/>
                <w:sz w:val="19"/>
                <w:szCs w:val="19"/>
              </w:rPr>
              <w:t xml:space="preserve">• Weight, CBM, and number of crates are estimates. Actuals are confirmed on the Packing List after production.</w:t>
            </w:r>
          </w:p>
          <w:p>
            <w:pPr>
              <w:spacing w:after="80"/>
            </w:pPr>
            <w:r>
              <w:rPr>
                <w:rFonts w:ascii="Aptos" w:cs="Aptos" w:eastAsia="Aptos" w:hAnsi="Aptos"/>
                <w:sz w:val="19"/>
                <w:szCs w:val="19"/>
              </w:rPr>
              <w:t xml:space="preserve">• Natural Stone Characteristics: All granite supplied is Grade A quality, selected for colour consistency. As with all natural stone, minor variation in shade, grain and veining may occur between pieces — however, visible dramatic colour difference between components of the same order will not occur. Products will conform to the agreed specification.</w:t>
            </w:r>
          </w:p>
          <w:p>
            <w:pPr>
              <w:spacing w:after="80"/>
            </w:pPr>
            <w:r>
              <w:rPr>
                <w:rFonts w:ascii="Aptos" w:cs="Aptos" w:eastAsia="Aptos" w:hAnsi="Aptos"/>
                <w:sz w:val="19"/>
                <w:szCs w:val="19"/>
              </w:rPr>
              <w:t xml:space="preserve">• Quantity Tolerance: Actual quantity shipped will not exceed the ordered quantity. A shortfall of up to 5% may occur due to natural stone production characteristics and will be invoiced at actual quantity shipped. Buyer will be notified in writing before shipment of any shortfall exceeding 5%, and shipment will require buyer's written approval.</w:t>
            </w:r>
          </w:p>
          <w:p>
            <w:pPr>
              <w:spacing w:after="80"/>
            </w:pPr>
            <w:r>
              <w:rPr>
                <w:rFonts w:ascii="Aptos" w:cs="Aptos" w:eastAsia="Aptos" w:hAnsi="Aptos"/>
                <w:sz w:val="19"/>
                <w:szCs w:val="19"/>
              </w:rPr>
              <w:t xml:space="preserve">• A formal Proforma Invoice will be issued upon written acceptance of this quotation.</w:t>
            </w:r>
          </w:p>
          <w:p>
            <w:pPr>
              <w:spacing w:after="80"/>
            </w:pPr>
            <w:r>
              <w:rPr>
                <w:rFonts w:ascii="Aptos" w:cs="Aptos" w:eastAsia="Aptos" w:hAnsi="Aptos"/>
                <w:sz w:val="19"/>
                <w:szCs w:val="19"/>
              </w:rPr>
              <w:t xml:space="preserve">• Bank Details: Full bank details for advance payment will be provided on the Proforma Invoice issued after acceptance of this Quotation.</w:t>
            </w:r>
          </w:p>
          <w:p>
            <w:pPr>
              <w:spacing w:after="80"/>
            </w:pPr>
            <w:r>
              <w:rPr>
                <w:rFonts w:ascii="Aptos" w:cs="Aptos" w:eastAsia="Aptos" w:hAnsi="Aptos"/>
                <w:sz w:val="19"/>
                <w:szCs w:val="19"/>
              </w:rPr>
              <w:t xml:space="preserve">• If order quantity is not confirmed at quotation stage, the unit price above is valid for 30 days. Total order value and advance payment amount will be confirmed on the Proforma Invoice once quantity is finalised.</w:t>
            </w:r>
          </w:p>
          <w:p>
            <w:pPr>
              <w:spacing w:after="80"/>
            </w:pPr>
            <w:r>
              <w:rPr>
                <w:rFonts w:ascii="Aptos" w:cs="Aptos" w:eastAsia="Aptos" w:hAnsi="Aptos"/>
                <w:sz w:val="19"/>
                <w:szCs w:val="19"/>
              </w:rPr>
              <w:t xml:space="preserve">• Production commences only after 40% advance payment is received and CLEARED in NexaCrest's bank account. Remittance copy alone does not constitute payment receipt. Please allow 1–2 banking days for clearance confirmation before expecting production to commence.</w:t>
            </w:r>
          </w:p>
          <w:p>
            <w:pPr>
              <w:spacing w:after="80"/>
            </w:pPr>
            <w:r>
              <w:rPr>
                <w:rFonts w:ascii="Aptos" w:cs="Aptos" w:eastAsia="Aptos" w:hAnsi="Aptos"/>
                <w:sz w:val="19"/>
                <w:szCs w:val="19"/>
              </w:rPr>
              <w:t xml:space="preserve">• Cancellation: Orders may not be cancelled after production has commenced. Cancellation before production commencement is subject to written agreement and recovery of costs incurred. The 40% advance is non-refundable once production has commenced.</w:t>
            </w:r>
          </w:p>
          <w:p>
            <w:pPr>
              <w:spacing w:after="80"/>
            </w:pPr>
            <w:r>
              <w:rPr>
                <w:rFonts w:ascii="Aptos" w:cs="Aptos" w:eastAsia="Aptos" w:hAnsi="Aptos"/>
                <w:sz w:val="19"/>
                <w:szCs w:val="19"/>
              </w:rPr>
              <w:t>• PAYMENT TERMS FINALITY: 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formal written Payment Terms Amendment Agreement signed by authorised representatives of both parties before the amendment takes effect.</w:t>
            </w:r>
          </w:p>
          <w:p>
            <w:pPr>
              <w:spacing w:after="80"/>
            </w:pPr>
            <w:r>
              <w:rPr>
                <w:rFonts w:ascii="Aptos" w:cs="Aptos" w:eastAsia="Aptos" w:hAnsi="Aptos"/>
                <w:sz w:val="19"/>
                <w:szCs w:val="19"/>
              </w:rPr>
              <w:t xml:space="preserve">• DISPUTE RESOLUTION &amp; PUBLIC COMMUNICATIONS: 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sz w:val="19"/>
                <w:szCs w:val="19"/>
              </w:rPr>
              <w:t xml:space="preserve">• ACCEPTANCE &amp; ORDER OF PRECEDENCE: 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w:t>
            </w:r>
          </w:p>
          <w:p>
            <w:pPr>
              <w:spacing w:after="80"/>
            </w:pPr>
            <w:r>
              <w:rPr>
                <w:rFonts w:ascii="Aptos" w:cs="Aptos" w:eastAsia="Aptos" w:hAnsi="Aptos"/>
                <w:sz w:val="19"/>
                <w:szCs w:val="19"/>
              </w:rPr>
              <w:t xml:space="preserve">• Partial Shipment: Not permitted. NexaCrest ships complete orders only — minimum one full FCL. Mixed-product containers (multiple products in one FCL) are permitted.</w:t>
            </w:r>
          </w:p>
          <w:p>
            <w:pPr>
              <w:spacing w:after="80"/>
            </w:pPr>
            <w:r>
              <w:rPr>
                <w:rFonts w:ascii="Aptos" w:cs="Aptos" w:eastAsia="Aptos" w:hAnsi="Aptos"/>
                <w:sz w:val="19"/>
                <w:szCs w:val="19"/>
              </w:rPr>
              <w:t xml:space="preserve">• Import Clearance &amp; Destination Charges: Unless expressly stated otherwise under the agreed Incoterm, the buyer is solely responsible for import customs clearance, import duties, taxes, VAT, permits, licences and all destination-country charges. NexaCrest bears no responsibility for destination-side costs or delays.</w:t>
            </w:r>
          </w:p>
          <w:p>
            <w:pPr>
              <w:spacing w:after="0"/>
            </w:pPr>
            <w:r>
              <w:rPr>
                <w:rFonts w:ascii="Aptos" w:cs="Aptos" w:eastAsia="Aptos" w:hAnsi="Aptos"/>
                <w:sz w:val="19"/>
                <w:szCs w:val="19"/>
              </w:rPr>
              <w:t xml:space="preserve">• Shipment Booking: For CFR/CIF orders, shipment booking will be confirmed only after full freight and insurance payment is received and cleared in NexaCrest's bank account against the Freight Debit Note. NexaCrest cannot book the container or hand over cargo to the shipping line until freight payment is verified.</w:t>
            </w:r>
          </w:p>
        </w:tc>
      </w:tr>
    </w:tbl>
    <w:p>
      <w:pPr>
        <w:spacing w:after="3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2026-09-17T06:44:27.133Z</dcterms:created>
  <dcterms:modified xsi:type="dcterms:W3CDTF">2026-09-17T06:44:27.140Z</dcterms:modified>
</cp:coreProperties>
</file>

<file path=docProps/custom.xml><?xml version="1.0" encoding="utf-8"?>
<Properties xmlns="http://schemas.openxmlformats.org/officeDocument/2006/custom-properties" xmlns:vt="http://schemas.openxmlformats.org/officeDocument/2006/docPropsVTypes"/>
</file>