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c>
          <w:tcPr>
            <w:tcW w:type="dxa" w:w="1400"/>
            <w:tcBorders>
              <w:top w:val="none" w:color="FFFFFF" w:sz="0"/>
              <w:left w:val="none" w:color="FFFFFF" w:sz="0"/>
              <w:bottom w:val="none" w:color="FFFFFF" w:sz="0"/>
              <w:right w:val="none" w:color="FFFFFF" w:sz="0"/>
            </w:tcBorders>
            <w:tcMar>
              <w:top w:type="dxa" w:w="0"/>
              <w:left w:type="dxa" w:w="0"/>
              <w:bottom w:type="dxa" w:w="0"/>
              <w:right w:type="dxa" w:w="200"/>
            </w:tcMar>
            <w:vAlign w:val="center"/>
          </w:tcPr>
          <w:p>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85800" cy="685800"/>
                          </a:xfrm>
                          <a:prstGeom prst="rect">
                            <a:avLst/>
                          </a:prstGeom>
                        </pic:spPr>
                      </pic:pic>
                    </a:graphicData>
                  </a:graphic>
                </wp:inline>
              </w:drawing>
            </w:r>
          </w:p>
        </w:tc>
        <w:tc>
          <w:tcPr>
            <w:tcW w:type="dxa" w:w="8238"/>
            <w:tcBorders>
              <w:top w:val="none" w:color="FFFFFF" w:sz="0"/>
              <w:left w:val="none" w:color="FFFFFF" w:sz="0"/>
              <w:bottom w:val="none" w:color="FFFFFF" w:sz="0"/>
              <w:right w:val="none" w:color="FFFFFF" w:sz="0"/>
            </w:tcBorders>
            <w:vAlign w:val="center"/>
          </w:tcPr>
          <w:p>
            <w:pPr>
              <w:spacing w:after="60"/>
              <w:jc w:val="right"/>
            </w:pPr>
            <w:r>
              <w:rPr>
                <w:rFonts w:ascii="Aptos" w:cs="Aptos" w:eastAsia="Aptos" w:hAnsi="Aptos"/>
                <w:b/>
                <w:bCs/>
                <w:color w:val="17233A"/>
                <w:sz w:val="26"/>
                <w:szCs w:val="26"/>
              </w:rPr>
              <w:t xml:space="preserve">NEXACREST INTERNATIONAL PRIVATE LIMITED</w:t>
            </w:r>
          </w:p>
          <w:p>
            <w:pPr>
              <w:spacing w:after="40"/>
              <w:jc w:val="right"/>
            </w:pPr>
            <w:r>
              <w:rPr>
                <w:rFonts w:ascii="Aptos" w:cs="Aptos" w:eastAsia="Aptos" w:hAnsi="Aptos"/>
                <w:b/>
                <w:bCs/>
                <w:color w:val="17233A"/>
                <w:sz w:val="36"/>
                <w:szCs w:val="36"/>
              </w:rPr>
              <w:t xml:space="preserve">PROFORMA INVOICE</w:t>
            </w:r>
          </w:p>
          <w:p>
            <w:pPr>
              <w:jc w:val="right"/>
            </w:pPr>
            <w:r>
              <w:rPr>
                <w:rFonts w:ascii="Aptos" w:cs="Aptos" w:eastAsia="Aptos" w:hAnsi="Aptos"/>
                <w:b/>
                <w:bCs/>
                <w:color w:val="5B6573"/>
                <w:sz w:val="20"/>
                <w:szCs w:val="20"/>
              </w:rPr>
              <w:t xml:space="preserve">FOB CHENNAI, INDIA</w:t>
            </w:r>
          </w:p>
        </w:tc>
      </w:tr>
    </w:tbl>
    <w:p>
      <w:pPr>
        <w:spacing w:after="120" w:before="0"/>
      </w:pPr>
    </w:p>
    <w:p>
      <w:pPr>
        <w:spacing w:after="80" w:before="160"/>
      </w:pPr>
      <w:r>
        <w:rPr>
          <w:rFonts w:ascii="Aptos" w:cs="Aptos" w:eastAsia="Aptos" w:hAnsi="Aptos"/>
          <w:i/>
          <w:iCs/>
          <w:color w:val="5B6573"/>
          <w:sz w:val="18"/>
          <w:szCs w:val="18"/>
        </w:rPr>
        <w:t xml:space="preserve">Fields marked </w:t>
      </w:r>
      <w:r>
        <w:rPr>
          <w:rFonts w:ascii="Aptos" w:cs="Aptos" w:eastAsia="Aptos" w:hAnsi="Aptos"/>
          <w:b/>
          <w:bCs/>
          <w:color w:val="C0392B"/>
          <w:sz w:val="18"/>
          <w:szCs w:val="18"/>
        </w:rPr>
        <w:t xml:space="preserve">*</w:t>
      </w:r>
      <w:r>
        <w:rPr>
          <w:rFonts w:ascii="Aptos" w:cs="Aptos" w:eastAsia="Aptos" w:hAnsi="Aptos"/>
          <w:i/>
          <w:iCs/>
          <w:color w:val="5B6573"/>
          <w:sz w:val="18"/>
          <w:szCs w:val="18"/>
        </w:rPr>
        <w:t xml:space="preserve"> are mandatory and must be completed before this document is issued.</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PI NUMBER *</w:t>
            </w:r>
          </w:p>
          <w:p>
            <w:r>
              <w:rPr>
                <w:rFonts w:ascii="Aptos" w:cs="Aptos" w:eastAsia="Aptos" w:hAnsi="Aptos"/>
                <w:b/>
                <w:bCs/>
                <w:color w:val="17233A"/>
                <w:sz w:val="20"/>
                <w:szCs w:val="20"/>
              </w:rPr>
              <w:t xml:space="preserve">[SC/PI/YYYY/DDMMNNN Rev.00]</w:t>
            </w:r>
          </w:p>
        </w:tc>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PI DATE *</w:t>
            </w:r>
          </w:p>
          <w:p>
            <w:r>
              <w:rPr>
                <w:rFonts w:ascii="Aptos" w:cs="Aptos" w:eastAsia="Aptos" w:hAnsi="Aptos"/>
                <w:b/>
                <w:bCs/>
                <w:color w:val="17233A"/>
                <w:sz w:val="20"/>
                <w:szCs w:val="20"/>
              </w:rPr>
              <w:t xml:space="preserve">[DD Month YYYY]</w:t>
            </w:r>
          </w:p>
        </w:tc>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QUOTATION REF *</w:t>
            </w:r>
          </w:p>
          <w:p>
            <w:r>
              <w:rPr>
                <w:rFonts w:ascii="Aptos" w:cs="Aptos" w:eastAsia="Aptos" w:hAnsi="Aptos"/>
                <w:b/>
                <w:bCs/>
                <w:color w:val="17233A"/>
                <w:sz w:val="20"/>
                <w:szCs w:val="20"/>
              </w:rPr>
              <w:t xml:space="preserve">[SC/QT/YYYY/DDMMNNN]</w:t>
            </w:r>
          </w:p>
        </w:tc>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BUYER INQUIRY REF *</w:t>
            </w:r>
          </w:p>
          <w:p>
            <w:r>
              <w:rPr>
                <w:rFonts w:ascii="Aptos" w:cs="Aptos" w:eastAsia="Aptos" w:hAnsi="Aptos"/>
                <w:b/>
                <w:bCs/>
                <w:color w:val="17233A"/>
                <w:sz w:val="20"/>
                <w:szCs w:val="20"/>
              </w:rPr>
              <w:t xml:space="preserve">[NC/SC/YYYY/DDMMNNN]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F9F27" w:sz="16" w:space="0"/>
              <w:left w:val="single" w:color="D0D8E4" w:sz="2"/>
              <w:bottom w:val="single" w:color="D0D8E4" w:sz="2"/>
              <w:right w:val="single" w:color="D0D8E4" w:sz="2"/>
            </w:tcBorders>
            <w:shd w:fill="FFF3CD" w:val="clear"/>
            <w:tcMar>
              <w:top w:type="dxa" w:w="100"/>
              <w:left w:type="dxa" w:w="200"/>
              <w:bottom w:type="dxa" w:w="100"/>
              <w:right w:type="dxa" w:w="200"/>
            </w:tcMar>
          </w:tcPr>
          <w:p>
            <w:r>
              <w:rPr>
                <w:rFonts w:ascii="Aptos" w:cs="Aptos" w:eastAsia="Aptos" w:hAnsi="Aptos"/>
                <w:b/>
                <w:bCs/>
                <w:color w:val="633806"/>
                <w:sz w:val="19"/>
                <w:szCs w:val="19"/>
              </w:rPr>
              <w:t xml:space="preserve">⏱  VALID UNTIL *   </w:t>
            </w:r>
            <w:r>
              <w:rPr>
                <w:rFonts w:ascii="Aptos" w:cs="Aptos" w:eastAsia="Aptos" w:hAnsi="Aptos"/>
                <w:b/>
                <w:bCs/>
                <w:color w:val="412402"/>
                <w:sz w:val="22"/>
                <w:szCs w:val="22"/>
              </w:rPr>
              <w:t xml:space="preserve">[DD Month YYYY — 15 days from PI date]</w:t>
            </w:r>
            <w:r>
              <w:rPr>
                <w:rFonts w:ascii="Aptos" w:cs="Aptos" w:eastAsia="Aptos" w:hAnsi="Aptos"/>
                <w:i/>
                <w:iCs/>
                <w:color w:val="854F0B"/>
                <w:sz w:val="17"/>
                <w:szCs w:val="17"/>
              </w:rPr>
              <w:t xml:space="preserve">     Payment must be received before this date for prices and terms to remain valid.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2D7D56" w:sz="14" w:space="0"/>
              <w:bottom w:val="single" w:color="D0D8E4" w:sz="2"/>
              <w:right w:val="single" w:color="D0D8E4" w:sz="2"/>
            </w:tcBorders>
            <w:shd w:fill="EAF3DE" w:val="clear"/>
            <w:tcMar>
              <w:top w:type="dxa" w:w="100"/>
              <w:left w:type="dxa" w:w="180"/>
              <w:bottom w:type="dxa" w:w="100"/>
              <w:right w:type="dxa" w:w="180"/>
            </w:tcMar>
          </w:tcPr>
          <w:p>
            <w:pPr>
              <w:spacing w:after="60"/>
            </w:pPr>
            <w:r>
              <w:rPr>
                <w:rFonts w:ascii="Aptos" w:cs="Aptos" w:eastAsia="Aptos" w:hAnsi="Aptos"/>
                <w:b/>
                <w:bCs/>
                <w:color w:val="27500A"/>
                <w:sz w:val="19"/>
                <w:szCs w:val="19"/>
              </w:rPr>
              <w:t xml:space="preserve">GST DECLARATION: </w:t>
            </w:r>
            <w:r>
              <w:rPr>
                <w:rFonts w:ascii="Aptos" w:cs="Aptos" w:eastAsia="Aptos" w:hAnsi="Aptos"/>
                <w:color w:val="3B6D11"/>
                <w:sz w:val="19"/>
                <w:szCs w:val="19"/>
              </w:rPr>
              <w:t xml:space="preserve">Supply meant for export under Letter of Undertaking (LUT) without payment of Integrated Tax (IGST).</w:t>
            </w:r>
          </w:p>
          <w:p>
            <w:r>
              <w:rPr>
                <w:rFonts w:ascii="Aptos" w:cs="Aptos" w:eastAsia="Aptos" w:hAnsi="Aptos"/>
                <w:b/>
                <w:bCs/>
                <w:color w:val="27500A"/>
                <w:sz w:val="19"/>
                <w:szCs w:val="19"/>
              </w:rPr>
              <w:t xml:space="preserve">LUT Order No.: </w:t>
            </w:r>
            <w:r>
              <w:rPr>
                <w:rFonts w:ascii="Aptos" w:cs="Aptos" w:eastAsia="Aptos" w:hAnsi="Aptos"/>
                <w:b/>
                <w:bCs/>
                <w:color w:val="27500A"/>
                <w:sz w:val="19"/>
                <w:szCs w:val="19"/>
              </w:rPr>
              <w:t xml:space="preserve">ZD290626057408W</w:t>
            </w:r>
            <w:r>
              <w:rPr>
                <w:rFonts w:ascii="Aptos" w:cs="Aptos" w:eastAsia="Aptos" w:hAnsi="Aptos"/>
                <w:color w:val="3B6D11"/>
                <w:sz w:val="18"/>
                <w:szCs w:val="18"/>
              </w:rPr>
              <w:t xml:space="preserve">   ·   Valid for FY 2026-27   ·   GSTIN: 29AAKCN8733G1ZZ</w:t>
            </w:r>
            <w:r>
              <w:rPr>
                <w:rFonts w:ascii="Aptos" w:cs="Aptos" w:eastAsia="Aptos" w:hAnsi="Aptos"/>
                <w:i/>
                <w:iCs/>
                <w:color w:val="5A8A30"/>
                <w:sz w:val="17"/>
                <w:szCs w:val="17"/>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1. SELLER / EXPORTER</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Company / Legal Entity</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NexaCrest International Private Limited</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Registered Office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No. 33, T Ramaiah Garden, 2 Hulimavu Village, Hulimavu,
Bangalore South, Bengaluru, Karnataka – 560076, India</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Corporate Office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Evolve Work Studio, 4th Floor, The Hub @ Raj Serenity,
Khatha No. 10, Begur Koppa Road, Yelenahalli,
Bengaluru – 560068, Karnataka, India</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GSTIN</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29AAKCN8733G1ZZ</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IEC / PAN</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sz w:val="19"/>
                <w:szCs w:val="19"/>
              </w:rPr>
              <w:t xml:space="preserve">AAKCN8733G</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Contact Person</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sz w:val="19"/>
                <w:szCs w:val="19"/>
              </w:rPr>
              <w:t xml:space="preserve">Gulmohar Sontakke — Founder &amp; Managing Director</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Phone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+91-7676463030</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Email</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gulmohar.sontakke@nexacrestinternational.com</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2. BUYER / CONSIGNEE DETAILS</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D0D8E4" w:sz="2"/>
              <w:left w:val="single" w:color="D0D8E4" w:sz="2"/>
              <w:bottom w:val="single" w:color="D0D8E4" w:sz="2"/>
              <w:right w:val="single" w:color="D0D8E4" w:sz="2"/>
            </w:tcBorders>
            <w:shd w:fill="FFFFFF" w:val="clear"/>
            <w:tcMar>
              <w:top w:type="dxa" w:w="100"/>
              <w:left w:type="dxa" w:w="160"/>
              <w:bottom w:type="dxa" w:w="100"/>
              <w:right w:type="dxa" w:w="160"/>
            </w:tcMar>
          </w:tcPr>
          <w:p>
            <w:pPr>
              <w:spacing w:after="40"/>
            </w:pPr>
            <w:r>
              <w:rPr>
                <w:rFonts w:ascii="Aptos" w:cs="Aptos" w:eastAsia="Aptos" w:hAnsi="Aptos"/>
                <w:b/>
                <w:bCs/>
                <w:color w:val="17233A"/>
                <w:sz w:val="19"/>
                <w:szCs w:val="19"/>
              </w:rPr>
              <w:t xml:space="preserve">Company Legal Name</w:t>
            </w:r>
            <w:r>
              <w:rPr>
                <w:rFonts w:ascii="Aptos" w:cs="Aptos" w:eastAsia="Aptos" w:hAnsi="Aptos"/>
                <w:b/>
                <w:bCs/>
                <w:color w:val="C0392B"/>
                <w:sz w:val="19"/>
                <w:szCs w:val="19"/>
              </w:rPr>
              <w:t xml:space="preserve"> *</w:t>
            </w:r>
          </w:p>
          <w:p>
            <w:pPr>
              <w:spacing w:after="0"/>
            </w:pPr>
            <w:r>
              <w:rPr>
                <w:rFonts w:ascii="Aptos" w:cs="Aptos" w:eastAsia="Aptos" w:hAnsi="Aptos"/>
                <w:i/>
                <w:iCs/>
                <w:color w:val="5B6573"/>
                <w:sz w:val="19"/>
                <w:szCs w:val="19"/>
              </w:rPr>
              <w:t xml:space="preserve">[Exact legal name — must match Quotation]</w:t>
            </w:r>
          </w:p>
          <w:p>
            <w:pPr>
              <w:spacing w:after="80" w:before="0"/>
            </w:pPr>
          </w:p>
          <w:p>
            <w:pPr>
              <w:spacing w:after="40"/>
            </w:pPr>
            <w:r>
              <w:rPr>
                <w:rFonts w:ascii="Aptos" w:cs="Aptos" w:eastAsia="Aptos" w:hAnsi="Aptos"/>
                <w:b/>
                <w:bCs/>
                <w:color w:val="17233A"/>
                <w:sz w:val="19"/>
                <w:szCs w:val="19"/>
              </w:rPr>
              <w:t xml:space="preserve">Billing Address</w:t>
            </w:r>
            <w:r>
              <w:rPr>
                <w:rFonts w:ascii="Aptos" w:cs="Aptos" w:eastAsia="Aptos" w:hAnsi="Aptos"/>
                <w:b/>
                <w:bCs/>
                <w:color w:val="C0392B"/>
                <w:sz w:val="19"/>
                <w:szCs w:val="19"/>
              </w:rPr>
              <w:t xml:space="preserve"> *</w:t>
            </w:r>
          </w:p>
          <w:p>
            <w:pPr>
              <w:spacing w:after="0"/>
            </w:pPr>
            <w:r>
              <w:rPr>
                <w:rFonts w:ascii="Aptos" w:cs="Aptos" w:eastAsia="Aptos" w:hAnsi="Aptos"/>
                <w:i/>
                <w:iCs/>
                <w:color w:val="5B6573"/>
                <w:sz w:val="19"/>
                <w:szCs w:val="19"/>
              </w:rPr>
              <w:t xml:space="preserve">[Full address including postcode — must match Quotation]</w:t>
            </w:r>
          </w:p>
          <w:p>
            <w:pPr>
              <w:spacing w:after="80" w:before="0"/>
            </w:pPr>
          </w:p>
          <w:p>
            <w:pPr>
              <w:spacing w:after="40"/>
            </w:pPr>
            <w:r>
              <w:rPr>
                <w:rFonts w:ascii="Aptos" w:cs="Aptos" w:eastAsia="Aptos" w:hAnsi="Aptos"/>
                <w:b/>
                <w:bCs/>
                <w:color w:val="17233A"/>
                <w:sz w:val="19"/>
                <w:szCs w:val="19"/>
              </w:rPr>
              <w:t xml:space="preserve">Consignee Name</w:t>
            </w:r>
            <w:r>
              <w:rPr>
                <w:rFonts w:ascii="Aptos" w:cs="Aptos" w:eastAsia="Aptos" w:hAnsi="Aptos"/>
                <w:b/>
                <w:bCs/>
                <w:color w:val="C0392B"/>
                <w:sz w:val="19"/>
                <w:szCs w:val="19"/>
              </w:rPr>
              <w:t xml:space="preserve"> *</w:t>
            </w:r>
          </w:p>
          <w:p>
            <w:pPr>
              <w:spacing w:after="0"/>
            </w:pPr>
            <w:r>
              <w:rPr>
                <w:rFonts w:ascii="Aptos" w:cs="Aptos" w:eastAsia="Aptos" w:hAnsi="Aptos"/>
                <w:i/>
                <w:iCs/>
                <w:color w:val="5B6573"/>
                <w:sz w:val="19"/>
                <w:szCs w:val="19"/>
              </w:rPr>
              <w:t xml:space="preserve">[If different from Company Legal Name — write SAME if identical]</w:t>
            </w:r>
          </w:p>
          <w:p>
            <w:pPr>
              <w:spacing w:after="80" w:before="0"/>
            </w:pPr>
          </w:p>
          <w:p>
            <w:pPr>
              <w:spacing w:after="40"/>
            </w:pPr>
            <w:r>
              <w:rPr>
                <w:rFonts w:ascii="Aptos" w:cs="Aptos" w:eastAsia="Aptos" w:hAnsi="Aptos"/>
                <w:b/>
                <w:bCs/>
                <w:color w:val="17233A"/>
                <w:sz w:val="19"/>
                <w:szCs w:val="19"/>
              </w:rPr>
              <w:t xml:space="preserve">Consignee Address</w:t>
            </w:r>
            <w:r>
              <w:rPr>
                <w:rFonts w:ascii="Aptos" w:cs="Aptos" w:eastAsia="Aptos" w:hAnsi="Aptos"/>
                <w:b/>
                <w:bCs/>
                <w:color w:val="C0392B"/>
                <w:sz w:val="19"/>
                <w:szCs w:val="19"/>
              </w:rPr>
              <w:t xml:space="preserve"> *</w:t>
            </w:r>
          </w:p>
          <w:p>
            <w:pPr>
              <w:spacing w:after="0"/>
            </w:pPr>
            <w:r>
              <w:rPr>
                <w:rFonts w:ascii="Aptos" w:cs="Aptos" w:eastAsia="Aptos" w:hAnsi="Aptos"/>
                <w:i/>
                <w:iCs/>
                <w:color w:val="5B6573"/>
                <w:sz w:val="19"/>
                <w:szCs w:val="19"/>
              </w:rPr>
              <w:t xml:space="preserve">[If different from Billing Address — write SAME if identical — must match BL and Packing List]</w:t>
            </w:r>
          </w:p>
          <w:p>
            <w:pPr>
              <w:spacing w:after="80" w:before="0"/>
            </w:pPr>
          </w:p>
          <w:p>
            <w:pPr>
              <w:spacing w:after="40"/>
            </w:pPr>
            <w:r>
              <w:rPr>
                <w:rFonts w:ascii="Aptos" w:cs="Aptos" w:eastAsia="Aptos" w:hAnsi="Aptos"/>
                <w:b/>
                <w:bCs/>
                <w:color w:val="17233A"/>
                <w:sz w:val="19"/>
                <w:szCs w:val="19"/>
              </w:rPr>
              <w:t xml:space="preserve">VAT / EORI / Tax Reg. No.</w:t>
            </w:r>
            <w:r>
              <w:rPr>
                <w:rFonts w:ascii="Aptos" w:cs="Aptos" w:eastAsia="Aptos" w:hAnsi="Aptos"/>
                <w:b/>
                <w:bCs/>
                <w:color w:val="C0392B"/>
                <w:sz w:val="19"/>
                <w:szCs w:val="19"/>
              </w:rPr>
              <w:t xml:space="preserve"> *</w:t>
            </w:r>
          </w:p>
          <w:p>
            <w:pPr>
              <w:spacing w:after="0"/>
            </w:pPr>
            <w:r>
              <w:rPr>
                <w:rFonts w:ascii="Aptos" w:cs="Aptos" w:eastAsia="Aptos" w:hAnsi="Aptos"/>
                <w:i/>
                <w:iCs/>
                <w:color w:val="5B6573"/>
                <w:sz w:val="19"/>
                <w:szCs w:val="19"/>
              </w:rPr>
              <w:t xml:space="preserve">[UK: EORI No.  |  France: SIRET + TVA No.  |  Norway: Org. No. + MVA  |  Other EU: VAT ID]</w:t>
            </w:r>
          </w:p>
          <w:p>
            <w:pPr>
              <w:spacing w:after="80" w:before="0"/>
            </w:pPr>
          </w:p>
          <w:p>
            <w:pPr>
              <w:spacing w:after="40"/>
            </w:pPr>
            <w:r>
              <w:rPr>
                <w:rFonts w:ascii="Aptos" w:cs="Aptos" w:eastAsia="Aptos" w:hAnsi="Aptos"/>
                <w:b/>
                <w:bCs/>
                <w:color w:val="17233A"/>
                <w:sz w:val="19"/>
                <w:szCs w:val="19"/>
              </w:rPr>
              <w:t xml:space="preserve">Country of Final Destination</w:t>
            </w:r>
            <w:r>
              <w:rPr>
                <w:rFonts w:ascii="Aptos" w:cs="Aptos" w:eastAsia="Aptos" w:hAnsi="Aptos"/>
                <w:b/>
                <w:bCs/>
                <w:color w:val="C0392B"/>
                <w:sz w:val="19"/>
                <w:szCs w:val="19"/>
              </w:rPr>
              <w:t xml:space="preserve"> *</w:t>
            </w:r>
          </w:p>
          <w:p>
            <w:pPr>
              <w:spacing w:after="0"/>
            </w:pPr>
            <w:r>
              <w:rPr>
                <w:rFonts w:ascii="Aptos" w:cs="Aptos" w:eastAsia="Aptos" w:hAnsi="Aptos"/>
                <w:i/>
                <w:iCs/>
                <w:color w:val="5B6573"/>
                <w:sz w:val="19"/>
                <w:szCs w:val="19"/>
              </w:rPr>
              <w:t xml:space="preserve">[Required for Certificate of Origin and Shipping Bill]</w:t>
            </w:r>
          </w:p>
          <w:p>
            <w:pPr>
              <w:spacing w:after="80" w:before="0"/>
            </w:pPr>
          </w:p>
          <w:p>
            <w:pPr>
              <w:spacing w:after="40"/>
            </w:pPr>
            <w:r>
              <w:rPr>
                <w:rFonts w:ascii="Aptos" w:cs="Aptos" w:eastAsia="Aptos" w:hAnsi="Aptos"/>
                <w:b/>
                <w:bCs/>
                <w:color w:val="17233A"/>
                <w:sz w:val="19"/>
                <w:szCs w:val="19"/>
              </w:rPr>
              <w:t xml:space="preserve">Certificate of Origin Type</w:t>
            </w:r>
          </w:p>
          <w:p>
            <w:pPr>
              <w:spacing w:after="0"/>
            </w:pPr>
            <w:r>
              <w:rPr>
                <w:rFonts w:ascii="Aptos" w:cs="Aptos" w:eastAsia="Aptos" w:hAnsi="Aptos"/>
                <w:i/>
                <w:iCs/>
                <w:color w:val="5B6573"/>
                <w:sz w:val="19"/>
                <w:szCs w:val="19"/>
              </w:rPr>
              <w:t xml:space="preserve">[GSP Form A (preferential)  /  Non-preferential  — if unsure, your customs broker will advise]</w:t>
            </w:r>
          </w:p>
          <w:p>
            <w:pPr>
              <w:spacing w:after="80" w:before="0"/>
            </w:pPr>
          </w:p>
          <w:p>
            <w:pPr>
              <w:spacing w:after="40"/>
            </w:pPr>
            <w:r>
              <w:rPr>
                <w:rFonts w:ascii="Aptos" w:cs="Aptos" w:eastAsia="Aptos" w:hAnsi="Aptos"/>
                <w:b/>
                <w:bCs/>
                <w:color w:val="17233A"/>
                <w:sz w:val="19"/>
                <w:szCs w:val="19"/>
              </w:rPr>
              <w:t xml:space="preserve">Buyer's PO / Ref No.</w:t>
            </w:r>
          </w:p>
          <w:p>
            <w:pPr>
              <w:spacing w:after="0"/>
            </w:pPr>
            <w:r>
              <w:rPr>
                <w:rFonts w:ascii="Aptos" w:cs="Aptos" w:eastAsia="Aptos" w:hAnsi="Aptos"/>
                <w:i/>
                <w:iCs/>
                <w:color w:val="5B6573"/>
                <w:sz w:val="19"/>
                <w:szCs w:val="19"/>
              </w:rPr>
              <w:t xml:space="preserve">[Buyer's own internal PO number — write NIL if buyer has none]</w:t>
            </w:r>
          </w:p>
        </w:tc>
        <w:tc>
          <w:tcPr>
            <w:tcW w:type="dxa" w:w="4819"/>
            <w:tcBorders>
              <w:top w:val="single" w:color="D0D8E4" w:sz="2"/>
              <w:left w:val="single" w:color="D0D8E4" w:sz="2"/>
              <w:bottom w:val="single" w:color="D0D8E4" w:sz="2"/>
              <w:right w:val="single" w:color="D0D8E4" w:sz="2"/>
            </w:tcBorders>
            <w:shd w:fill="F1F5F9" w:val="clear"/>
            <w:tcMar>
              <w:top w:type="dxa" w:w="100"/>
              <w:left w:type="dxa" w:w="160"/>
              <w:bottom w:type="dxa" w:w="100"/>
              <w:right w:type="dxa" w:w="160"/>
            </w:tcMar>
          </w:tcPr>
          <w:p>
            <w:pPr>
              <w:spacing w:after="40"/>
            </w:pPr>
            <w:r>
              <w:rPr>
                <w:rFonts w:ascii="Aptos" w:cs="Aptos" w:eastAsia="Aptos" w:hAnsi="Aptos"/>
                <w:b/>
                <w:bCs/>
                <w:color w:val="17233A"/>
                <w:sz w:val="19"/>
                <w:szCs w:val="19"/>
              </w:rPr>
              <w:t xml:space="preserve">Contact Person</w:t>
            </w:r>
            <w:r>
              <w:rPr>
                <w:rFonts w:ascii="Aptos" w:cs="Aptos" w:eastAsia="Aptos" w:hAnsi="Aptos"/>
                <w:b/>
                <w:bCs/>
                <w:color w:val="C0392B"/>
                <w:sz w:val="19"/>
                <w:szCs w:val="19"/>
              </w:rPr>
              <w:t xml:space="preserve"> *</w:t>
            </w:r>
          </w:p>
          <w:p>
            <w:pPr>
              <w:spacing w:after="0"/>
            </w:pPr>
            <w:r>
              <w:rPr>
                <w:rFonts w:ascii="Aptos" w:cs="Aptos" w:eastAsia="Aptos" w:hAnsi="Aptos"/>
                <w:i/>
                <w:iCs/>
                <w:color w:val="5B6573"/>
                <w:sz w:val="19"/>
                <w:szCs w:val="19"/>
              </w:rPr>
              <w:t xml:space="preserve">[Full name]</w:t>
            </w:r>
          </w:p>
          <w:p>
            <w:pPr>
              <w:spacing w:after="80" w:before="0"/>
            </w:pPr>
          </w:p>
          <w:p>
            <w:pPr>
              <w:spacing w:after="40"/>
            </w:pPr>
            <w:r>
              <w:rPr>
                <w:rFonts w:ascii="Aptos" w:cs="Aptos" w:eastAsia="Aptos" w:hAnsi="Aptos"/>
                <w:b/>
                <w:bCs/>
                <w:color w:val="17233A"/>
                <w:sz w:val="19"/>
                <w:szCs w:val="19"/>
              </w:rPr>
              <w:t xml:space="preserve">Email</w:t>
            </w:r>
            <w:r>
              <w:rPr>
                <w:rFonts w:ascii="Aptos" w:cs="Aptos" w:eastAsia="Aptos" w:hAnsi="Aptos"/>
                <w:b/>
                <w:bCs/>
                <w:color w:val="C0392B"/>
                <w:sz w:val="19"/>
                <w:szCs w:val="19"/>
              </w:rPr>
              <w:t xml:space="preserve"> *</w:t>
            </w:r>
          </w:p>
          <w:p>
            <w:pPr>
              <w:spacing w:after="0"/>
            </w:pPr>
            <w:r>
              <w:rPr>
                <w:rFonts w:ascii="Aptos" w:cs="Aptos" w:eastAsia="Aptos" w:hAnsi="Aptos"/>
                <w:i/>
                <w:iCs/>
                <w:color w:val="5B6573"/>
                <w:sz w:val="19"/>
                <w:szCs w:val="19"/>
              </w:rPr>
              <w:t xml:space="preserve">[buyer@email.com]</w:t>
            </w:r>
          </w:p>
          <w:p>
            <w:pPr>
              <w:spacing w:after="80" w:before="0"/>
            </w:pPr>
          </w:p>
          <w:p>
            <w:pPr>
              <w:spacing w:after="40"/>
            </w:pPr>
            <w:r>
              <w:rPr>
                <w:rFonts w:ascii="Aptos" w:cs="Aptos" w:eastAsia="Aptos" w:hAnsi="Aptos"/>
                <w:b/>
                <w:bCs/>
                <w:color w:val="17233A"/>
                <w:sz w:val="19"/>
                <w:szCs w:val="19"/>
              </w:rPr>
              <w:t xml:space="preserve">Phone</w:t>
            </w:r>
          </w:p>
          <w:p>
            <w:pPr>
              <w:spacing w:after="0"/>
            </w:pPr>
            <w:r>
              <w:rPr>
                <w:rFonts w:ascii="Aptos" w:cs="Aptos" w:eastAsia="Aptos" w:hAnsi="Aptos"/>
                <w:i/>
                <w:iCs/>
                <w:color w:val="5B6573"/>
                <w:sz w:val="19"/>
                <w:szCs w:val="19"/>
              </w:rPr>
              <w:t xml:space="preserve">[+country code number]</w:t>
            </w:r>
          </w:p>
          <w:p>
            <w:pPr>
              <w:spacing w:after="80" w:before="0"/>
            </w:pPr>
          </w:p>
          <w:p>
            <w:pPr>
              <w:spacing w:after="40"/>
            </w:pPr>
            <w:r>
              <w:rPr>
                <w:rFonts w:ascii="Aptos" w:cs="Aptos" w:eastAsia="Aptos" w:hAnsi="Aptos"/>
                <w:b/>
                <w:bCs/>
                <w:color w:val="17233A"/>
                <w:sz w:val="19"/>
                <w:szCs w:val="19"/>
              </w:rPr>
              <w:t xml:space="preserve">Notify Party</w:t>
            </w:r>
          </w:p>
          <w:p>
            <w:pPr>
              <w:spacing w:after="0"/>
            </w:pPr>
            <w:r>
              <w:rPr>
                <w:rFonts w:ascii="Aptos" w:cs="Aptos" w:eastAsia="Aptos" w:hAnsi="Aptos"/>
                <w:i/>
                <w:iCs/>
                <w:color w:val="5B6573"/>
                <w:sz w:val="19"/>
                <w:szCs w:val="19"/>
              </w:rPr>
              <w:t xml:space="preserve">[If different from buyer — buyer's freight agent at destination port]</w:t>
            </w:r>
          </w:p>
          <w:p>
            <w:pPr>
              <w:spacing w:after="80" w:before="0"/>
            </w:pPr>
          </w:p>
          <w:p>
            <w:pPr>
              <w:spacing w:after="40"/>
            </w:pPr>
            <w:r>
              <w:rPr>
                <w:rFonts w:ascii="Aptos" w:cs="Aptos" w:eastAsia="Aptos" w:hAnsi="Aptos"/>
                <w:b/>
                <w:bCs/>
                <w:color w:val="17233A"/>
                <w:sz w:val="19"/>
                <w:szCs w:val="19"/>
              </w:rPr>
              <w:t xml:space="preserve">Buyer's PO / Ref</w:t>
            </w:r>
          </w:p>
          <w:p>
            <w:pPr>
              <w:spacing w:after="0"/>
            </w:pPr>
            <w:r>
              <w:rPr>
                <w:rFonts w:ascii="Aptos" w:cs="Aptos" w:eastAsia="Aptos" w:hAnsi="Aptos"/>
                <w:i/>
                <w:iCs/>
                <w:color w:val="5B6573"/>
                <w:sz w:val="19"/>
                <w:szCs w:val="19"/>
              </w:rPr>
              <w:t xml:space="preserve">[Buyer's internal purchase order number, if provided]</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3. PRODUCT / ORDER DETAILS</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200"/>
        <w:gridCol w:w="700"/>
        <w:gridCol w:w="700"/>
        <w:gridCol w:w="1400"/>
        <w:gridCol w:w="2258"/>
      </w:tblGrid>
      <w:tr>
        <w:tc>
          <w:tcPr>
            <w:tcW w:type="dxa" w:w="380"/>
            <w:tcBorders>
              <w:top w:val="single" w:color="D0D8E4" w:sz="2"/>
              <w:left w:val="single" w:color="D0D8E4" w:sz="2"/>
              <w:bottom w:val="single" w:color="D0D8E4" w:sz="2"/>
              <w:right w:val="single" w:color="D0D8E4" w:sz="2"/>
            </w:tcBorders>
            <w:shd w:fill="173B73" w:val="clear"/>
            <w:tcMar>
              <w:top w:type="dxa" w:w="90"/>
              <w:left w:type="dxa" w:w="60"/>
              <w:bottom w:type="dxa" w:w="90"/>
              <w:right w:type="dxa" w:w="100"/>
            </w:tcMar>
          </w:tcPr>
          <w:p>
            <w:pPr>
              <w:jc w:val="center"/>
            </w:pPr>
            <w:r>
              <w:rPr>
                <w:rFonts w:ascii="Aptos" w:cs="Aptos" w:eastAsia="Aptos" w:hAnsi="Aptos"/>
                <w:b/>
                <w:bCs/>
                <w:color w:val="FFFFFF"/>
                <w:sz w:val="18"/>
                <w:szCs w:val="18"/>
              </w:rPr>
              <w:t xml:space="preserve">#</w:t>
            </w:r>
          </w:p>
        </w:tc>
        <w:tc>
          <w:tcPr>
            <w:tcW w:type="dxa" w:w="4200"/>
            <w:tcBorders>
              <w:top w:val="single" w:color="D0D8E4" w:sz="2"/>
              <w:left w:val="single" w:color="D0D8E4" w:sz="2"/>
              <w:bottom w:val="single" w:color="D0D8E4" w:sz="2"/>
              <w:right w:val="single" w:color="D0D8E4" w:sz="2"/>
            </w:tcBorders>
            <w:shd w:fill="173B73" w:val="clear"/>
            <w:tcMar>
              <w:top w:type="dxa" w:w="90"/>
              <w:left w:type="dxa" w:w="100"/>
              <w:bottom w:type="dxa" w:w="90"/>
              <w:right w:type="dxa" w:w="100"/>
            </w:tcMar>
          </w:tcPr>
          <w:p>
            <w:pPr>
              <w:jc w:val="left"/>
            </w:pPr>
            <w:r>
              <w:rPr>
                <w:rFonts w:ascii="Aptos" w:cs="Aptos" w:eastAsia="Aptos" w:hAnsi="Aptos"/>
                <w:b/>
                <w:bCs/>
                <w:color w:val="FFFFFF"/>
                <w:sz w:val="18"/>
                <w:szCs w:val="18"/>
              </w:rPr>
              <w:t xml:space="preserve">Product Description *</w:t>
            </w:r>
          </w:p>
        </w:tc>
        <w:tc>
          <w:tcPr>
            <w:tcW w:type="dxa" w:w="700"/>
            <w:tcBorders>
              <w:top w:val="single" w:color="D0D8E4" w:sz="2"/>
              <w:left w:val="single" w:color="D0D8E4" w:sz="2"/>
              <w:bottom w:val="single" w:color="D0D8E4" w:sz="2"/>
              <w:right w:val="single" w:color="D0D8E4" w:sz="2"/>
            </w:tcBorders>
            <w:shd w:fill="173B73" w:val="clear"/>
            <w:tcMar>
              <w:top w:type="dxa" w:w="90"/>
              <w:left w:type="dxa" w:w="100"/>
              <w:bottom w:type="dxa" w:w="90"/>
              <w:right w:type="dxa" w:w="100"/>
            </w:tcMar>
          </w:tcPr>
          <w:p>
            <w:pPr>
              <w:jc w:val="left"/>
            </w:pPr>
            <w:r>
              <w:rPr>
                <w:rFonts w:ascii="Aptos" w:cs="Aptos" w:eastAsia="Aptos" w:hAnsi="Aptos"/>
                <w:b/>
                <w:bCs/>
                <w:color w:val="FFFFFF"/>
                <w:sz w:val="18"/>
                <w:szCs w:val="18"/>
              </w:rPr>
              <w:t xml:space="preserve">Qty *</w:t>
            </w:r>
          </w:p>
        </w:tc>
        <w:tc>
          <w:tcPr>
            <w:tcW w:type="dxa" w:w="700"/>
            <w:tcBorders>
              <w:top w:val="single" w:color="D0D8E4" w:sz="2"/>
              <w:left w:val="single" w:color="D0D8E4" w:sz="2"/>
              <w:bottom w:val="single" w:color="D0D8E4" w:sz="2"/>
              <w:right w:val="single" w:color="D0D8E4" w:sz="2"/>
            </w:tcBorders>
            <w:shd w:fill="173B73" w:val="clear"/>
            <w:tcMar>
              <w:top w:type="dxa" w:w="90"/>
              <w:left w:type="dxa" w:w="100"/>
              <w:bottom w:type="dxa" w:w="90"/>
              <w:right w:type="dxa" w:w="100"/>
            </w:tcMar>
          </w:tcPr>
          <w:p>
            <w:pPr>
              <w:jc w:val="left"/>
            </w:pPr>
            <w:r>
              <w:rPr>
                <w:rFonts w:ascii="Aptos" w:cs="Aptos" w:eastAsia="Aptos" w:hAnsi="Aptos"/>
                <w:b/>
                <w:bCs/>
                <w:color w:val="FFFFFF"/>
                <w:sz w:val="18"/>
                <w:szCs w:val="18"/>
              </w:rPr>
              <w:t xml:space="preserve">Unit *</w:t>
            </w:r>
          </w:p>
        </w:tc>
        <w:tc>
          <w:tcPr>
            <w:tcW w:type="dxa" w:w="1400"/>
            <w:tcBorders>
              <w:top w:val="single" w:color="D0D8E4" w:sz="2"/>
              <w:left w:val="single" w:color="D0D8E4" w:sz="2"/>
              <w:bottom w:val="single" w:color="D0D8E4" w:sz="2"/>
              <w:right w:val="single" w:color="D0D8E4" w:sz="2"/>
            </w:tcBorders>
            <w:shd w:fill="173B73" w:val="clear"/>
            <w:tcMar>
              <w:top w:type="dxa" w:w="90"/>
              <w:left w:type="dxa" w:w="100"/>
              <w:bottom w:type="dxa" w:w="90"/>
              <w:right w:type="dxa" w:w="100"/>
            </w:tcMar>
          </w:tcPr>
          <w:p>
            <w:pPr>
              <w:jc w:val="left"/>
            </w:pPr>
            <w:r>
              <w:rPr>
                <w:rFonts w:ascii="Aptos" w:cs="Aptos" w:eastAsia="Aptos" w:hAnsi="Aptos"/>
                <w:b/>
                <w:bCs/>
                <w:color w:val="FFFFFF"/>
                <w:sz w:val="18"/>
                <w:szCs w:val="18"/>
              </w:rPr>
              <w:t xml:space="preserve">Unit Price (USD) *</w:t>
            </w:r>
          </w:p>
        </w:tc>
        <w:tc>
          <w:tcPr>
            <w:tcW w:type="dxa" w:w="2258"/>
            <w:tcBorders>
              <w:top w:val="single" w:color="D0D8E4" w:sz="2"/>
              <w:left w:val="single" w:color="D0D8E4" w:sz="2"/>
              <w:bottom w:val="single" w:color="D0D8E4" w:sz="2"/>
              <w:right w:val="single" w:color="D0D8E4" w:sz="2"/>
            </w:tcBorders>
            <w:shd w:fill="173B73" w:val="clear"/>
            <w:tcMar>
              <w:top w:type="dxa" w:w="90"/>
              <w:left w:type="dxa" w:w="100"/>
              <w:bottom w:type="dxa" w:w="90"/>
              <w:right w:type="dxa" w:w="100"/>
            </w:tcMar>
          </w:tcPr>
          <w:p>
            <w:pPr>
              <w:jc w:val="left"/>
            </w:pPr>
            <w:r>
              <w:rPr>
                <w:rFonts w:ascii="Aptos" w:cs="Aptos" w:eastAsia="Aptos" w:hAnsi="Aptos"/>
                <w:b/>
                <w:bCs/>
                <w:color w:val="FFFFFF"/>
                <w:sz w:val="18"/>
                <w:szCs w:val="18"/>
              </w:rPr>
              <w:t xml:space="preserve">Amount (USD) *</w:t>
            </w:r>
          </w:p>
        </w:tc>
      </w:tr>
      <w:tr>
        <w:tc>
          <w:tcPr>
            <w:tcW w:type="dxa" w:w="380"/>
            <w:tcBorders>
              <w:top w:val="single" w:color="D0D8E4" w:sz="2"/>
              <w:left w:val="single" w:color="1D6FA8" w:sz="18" w:space="0"/>
              <w:bottom w:val="single" w:color="D0D8E4" w:sz="2"/>
              <w:right w:val="single" w:color="D0D8E4" w:sz="2"/>
            </w:tcBorders>
            <w:shd w:fill="F1F5F9" w:val="clear"/>
            <w:tcMar>
              <w:top w:type="dxa" w:w="90"/>
              <w:left w:type="dxa" w:w="60"/>
              <w:bottom w:type="dxa" w:w="90"/>
              <w:right w:type="dxa" w:w="60"/>
            </w:tcMar>
          </w:tcPr>
          <w:p>
            <w:pPr>
              <w:jc w:val="center"/>
            </w:pPr>
            <w:r>
              <w:rPr>
                <w:rFonts w:ascii="Aptos" w:cs="Aptos" w:eastAsia="Aptos" w:hAnsi="Aptos"/>
                <w:b/>
                <w:bCs/>
                <w:color w:val="1D6FA8"/>
                <w:sz w:val="20"/>
                <w:szCs w:val="20"/>
              </w:rPr>
              <w:t xml:space="preserve">1</w:t>
            </w:r>
          </w:p>
        </w:tc>
        <w:tc>
          <w:tcPr>
            <w:tcW w:type="dxa" w:w="4200"/>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00"/>
            </w:tcMar>
          </w:tcPr>
          <w:p>
            <w:r>
              <w:rPr>
                <w:rFonts w:ascii="Aptos" w:cs="Aptos" w:eastAsia="Aptos" w:hAnsi="Aptos"/>
                <w:b w:val="false"/>
                <w:bCs w:val="false"/>
                <w:i/>
                <w:iCs/>
                <w:color w:val="5B6573"/>
                <w:sz w:val="19"/>
                <w:szCs w:val="19"/>
              </w:rPr>
              <w:t xml:space="preserve">[Product description — must match Quotation exactly]</w:t>
            </w:r>
          </w:p>
        </w:tc>
        <w:tc>
          <w:tcPr>
            <w:tcW w:type="dxa" w:w="700"/>
            <w:tcBorders>
              <w:top w:val="single" w:color="D0D8E4" w:sz="2"/>
              <w:left w:val="single" w:color="D0D8E4" w:sz="2"/>
              <w:bottom w:val="single" w:color="D0D8E4" w:sz="2"/>
              <w:right w:val="single" w:color="D0D8E4" w:sz="2"/>
            </w:tcBorders>
            <w:shd w:fill="FFFFFF" w:val="clear"/>
            <w:tcMar>
              <w:top w:type="dxa" w:w="90"/>
              <w:left w:type="dxa" w:w="80"/>
              <w:bottom w:type="dxa" w:w="90"/>
              <w:right w:type="dxa" w:w="80"/>
            </w:tcMar>
          </w:tcPr>
          <w:p>
            <w:pPr>
              <w:jc w:val="right"/>
            </w:pPr>
            <w:r>
              <w:rPr>
                <w:rFonts w:ascii="Aptos" w:cs="Aptos" w:eastAsia="Aptos" w:hAnsi="Aptos"/>
                <w:i/>
                <w:iCs/>
                <w:color w:val="5B6573"/>
                <w:sz w:val="19"/>
                <w:szCs w:val="19"/>
              </w:rPr>
              <w:t xml:space="preserve">[Qty / TBC]</w:t>
            </w:r>
          </w:p>
        </w:tc>
        <w:tc>
          <w:tcPr>
            <w:tcW w:type="dxa" w:w="700"/>
            <w:tcBorders>
              <w:top w:val="single" w:color="D0D8E4" w:sz="2"/>
              <w:left w:val="single" w:color="D0D8E4" w:sz="2"/>
              <w:bottom w:val="single" w:color="D0D8E4" w:sz="2"/>
              <w:right w:val="single" w:color="D0D8E4" w:sz="2"/>
            </w:tcBorders>
            <w:shd w:fill="F1F5F9" w:val="clear"/>
            <w:tcMar>
              <w:top w:type="dxa" w:w="90"/>
              <w:left w:type="dxa" w:w="80"/>
              <w:bottom w:type="dxa" w:w="90"/>
              <w:right w:type="dxa" w:w="80"/>
            </w:tcMar>
          </w:tcPr>
          <w:p>
            <w:pPr>
              <w:jc w:val="center"/>
            </w:pPr>
            <w:r>
              <w:rPr>
                <w:rFonts w:ascii="Aptos" w:cs="Aptos" w:eastAsia="Aptos" w:hAnsi="Aptos"/>
                <w:b/>
                <w:bCs/>
                <w:i/>
                <w:iCs/>
                <w:color w:val="5B6573"/>
                <w:sz w:val="18"/>
                <w:szCs w:val="18"/>
              </w:rPr>
              <w:t xml:space="preserve">[m² / pcs / set / CBM / kg]</w:t>
            </w:r>
          </w:p>
        </w:tc>
        <w:tc>
          <w:tcPr>
            <w:tcW w:type="dxa" w:w="1400"/>
            <w:tcBorders>
              <w:top w:val="single" w:color="D0D8E4" w:sz="2"/>
              <w:left w:val="single" w:color="D0D8E4" w:sz="2"/>
              <w:bottom w:val="single" w:color="D0D8E4" w:sz="2"/>
              <w:right w:val="single" w:color="D0D8E4" w:sz="2"/>
            </w:tcBorders>
            <w:shd w:fill="FFFFFF" w:val="clear"/>
            <w:tcMar>
              <w:top w:type="dxa" w:w="90"/>
              <w:left w:type="dxa" w:w="80"/>
              <w:bottom w:type="dxa" w:w="90"/>
              <w:right w:type="dxa" w:w="80"/>
            </w:tcMar>
          </w:tcPr>
          <w:p>
            <w:pPr>
              <w:jc w:val="right"/>
            </w:pPr>
            <w:r>
              <w:rPr>
                <w:rFonts w:ascii="Aptos" w:cs="Aptos" w:eastAsia="Aptos" w:hAnsi="Aptos"/>
                <w:i/>
                <w:iCs/>
                <w:color w:val="5B6573"/>
                <w:sz w:val="19"/>
                <w:szCs w:val="19"/>
              </w:rPr>
              <w:t xml:space="preserve">[USD X.XX per unit / m² / set]</w:t>
            </w:r>
          </w:p>
        </w:tc>
        <w:tc>
          <w:tcPr>
            <w:tcW w:type="dxa" w:w="2258"/>
            <w:tcBorders>
              <w:top w:val="single" w:color="D0D8E4" w:sz="2"/>
              <w:left w:val="single" w:color="D0D8E4" w:sz="2"/>
              <w:bottom w:val="single" w:color="D0D8E4" w:sz="2"/>
              <w:right w:val="single" w:color="D0D8E4" w:sz="2"/>
            </w:tcBorders>
            <w:shd w:fill="FFFFFF" w:val="clear"/>
            <w:tcMar>
              <w:top w:type="dxa" w:w="90"/>
              <w:left w:type="dxa" w:w="80"/>
              <w:bottom w:type="dxa" w:w="90"/>
              <w:right w:type="dxa" w:w="80"/>
            </w:tcMar>
          </w:tcPr>
          <w:p>
            <w:pPr>
              <w:jc w:val="right"/>
            </w:pPr>
            <w:r>
              <w:rPr>
                <w:rFonts w:ascii="Aptos" w:cs="Aptos" w:eastAsia="Aptos" w:hAnsi="Aptos"/>
                <w:b w:val="false"/>
                <w:bCs w:val="false"/>
                <w:i/>
                <w:iCs/>
                <w:color w:val="5B6573"/>
                <w:sz w:val="19"/>
                <w:szCs w:val="19"/>
              </w:rPr>
              <w:t xml:space="preserve">[Qty × Price / TBC]</w:t>
            </w:r>
          </w:p>
        </w:tc>
      </w:tr>
      <w:tr>
        <w:tc>
          <w:tcPr>
            <w:tcW w:type="dxa" w:w="9638"/>
            <w:gridSpan w:val="6"/>
            <w:tcBorders>
              <w:top w:val="none" w:color="auto" w:sz="0"/>
              <w:left w:val="single" w:color="1D6FA8" w:sz="18" w:space="0"/>
              <w:bottom w:val="none" w:color="auto" w:sz="0"/>
              <w:right w:val="single" w:color="D0D8E4" w:sz="2"/>
            </w:tcBorders>
            <w:shd w:fill="F8F9FA" w:val="clear"/>
            <w:tcMar>
              <w:top w:type="dxa" w:w="50"/>
              <w:left w:type="dxa" w:w="200"/>
              <w:bottom w:type="dxa" w:w="50"/>
              <w:right w:type="dxa" w:w="120"/>
            </w:tcMar>
          </w:tcPr>
          <w:p>
            <w:r>
              <w:rPr>
                <w:rFonts w:ascii="Aptos" w:cs="Aptos" w:eastAsia="Aptos" w:hAnsi="Aptos"/>
                <w:color w:val="333333"/>
                <w:sz w:val="17"/>
                <w:szCs w:val="17"/>
              </w:rPr>
              <w:t xml:space="preserve">[For monument sets: list components here exactly as per Quotation]</w:t>
            </w:r>
          </w:p>
        </w:tc>
      </w:tr>
      <w:tr>
        <w:tc>
          <w:tcPr>
            <w:tcW w:type="dxa" w:w="9638"/>
            <w:gridSpan w:val="6"/>
            <w:tcBorders>
              <w:top w:val="none" w:color="auto" w:sz="0"/>
              <w:left w:val="single" w:color="1D6FA8" w:sz="18" w:space="0"/>
              <w:bottom w:val="none" w:color="auto" w:sz="0"/>
              <w:right w:val="single" w:color="D0D8E4" w:sz="2"/>
            </w:tcBorders>
            <w:shd w:fill="F1F5F9" w:val="clear"/>
            <w:tcMar>
              <w:top w:type="dxa" w:w="50"/>
              <w:left w:type="dxa" w:w="200"/>
              <w:bottom w:type="dxa" w:w="50"/>
              <w:right w:type="dxa" w:w="120"/>
            </w:tcMar>
          </w:tcPr>
          <w:p>
            <w:r>
              <w:rPr>
                <w:rFonts w:ascii="Aptos" w:cs="Aptos" w:eastAsia="Aptos" w:hAnsi="Aptos"/>
                <w:color w:val="333333"/>
                <w:sz w:val="17"/>
                <w:szCs w:val="17"/>
              </w:rPr>
              <w:t xml:space="preserve">[For slabs/blocks: delete spec rows]</w:t>
            </w:r>
          </w:p>
        </w:tc>
      </w:tr>
      <w:tr>
        <w:tc>
          <w:tcPr>
            <w:tcW w:type="dxa" w:w="9638"/>
            <w:gridSpan w:val="6"/>
            <w:tcBorders>
              <w:top w:val="none" w:color="auto" w:sz="0"/>
              <w:left w:val="single" w:color="1D6FA8" w:sz="18" w:space="0"/>
              <w:bottom w:val="single" w:color="D0D8E4" w:sz="2"/>
              <w:right w:val="single" w:color="D0D8E4" w:sz="2"/>
            </w:tcBorders>
            <w:shd w:fill="EFF3F7" w:val="clear"/>
            <w:tcMar>
              <w:top w:type="dxa" w:w="60"/>
              <w:left w:type="dxa" w:w="120"/>
              <w:bottom w:type="dxa" w:w="60"/>
              <w:right w:type="dxa" w:w="120"/>
            </w:tcMar>
          </w:tcPr>
          <w:p>
            <w:r>
              <w:rPr>
                <w:rFonts w:ascii="Aptos" w:cs="Aptos" w:eastAsia="Aptos" w:hAnsi="Aptos"/>
                <w:b/>
                <w:bCs/>
                <w:color w:val="1D6FA8"/>
                <w:sz w:val="17"/>
                <w:szCs w:val="17"/>
              </w:rPr>
              <w:t xml:space="preserve">1.  </w:t>
            </w:r>
            <w:r>
              <w:rPr>
                <w:rFonts w:ascii="Aptos" w:cs="Aptos" w:eastAsia="Aptos" w:hAnsi="Aptos"/>
                <w:b/>
                <w:bCs/>
                <w:color w:val="17233A"/>
                <w:sz w:val="17"/>
                <w:szCs w:val="17"/>
              </w:rPr>
              <w:t xml:space="preserve">Dimensions: </w:t>
            </w:r>
            <w:r>
              <w:rPr>
                <w:rFonts w:ascii="Aptos" w:cs="Aptos" w:eastAsia="Aptos" w:hAnsi="Aptos"/>
                <w:b w:val="false"/>
                <w:bCs w:val="false"/>
                <w:i/>
                <w:iCs/>
                <w:color w:val="5B6573"/>
                <w:sz w:val="17"/>
                <w:szCs w:val="17"/>
              </w:rPr>
              <w:t xml:space="preserve">[L × W × H cm]</w:t>
            </w:r>
            <w:r>
              <w:rPr>
                <w:rFonts w:ascii="Aptos" w:cs="Aptos" w:eastAsia="Aptos" w:hAnsi="Aptos"/>
                <w:color w:val="5B6573"/>
                <w:sz w:val="17"/>
                <w:szCs w:val="17"/>
              </w:rPr>
              <w:t xml:space="preserve">     ·     </w:t>
            </w:r>
            <w:r>
              <w:rPr>
                <w:rFonts w:ascii="Aptos" w:cs="Aptos" w:eastAsia="Aptos" w:hAnsi="Aptos"/>
                <w:b/>
                <w:bCs/>
                <w:color w:val="17233A"/>
                <w:sz w:val="17"/>
                <w:szCs w:val="17"/>
              </w:rPr>
              <w:t xml:space="preserve">Finish: </w:t>
            </w:r>
            <w:r>
              <w:rPr>
                <w:rFonts w:ascii="Aptos" w:cs="Aptos" w:eastAsia="Aptos" w:hAnsi="Aptos"/>
                <w:b w:val="false"/>
                <w:bCs w:val="false"/>
                <w:i/>
                <w:iCs/>
                <w:color w:val="5B6573"/>
                <w:sz w:val="17"/>
                <w:szCs w:val="17"/>
              </w:rPr>
              <w:t xml:space="preserve">[e.g., Mirror Polished]</w:t>
            </w:r>
            <w:r>
              <w:rPr>
                <w:rFonts w:ascii="Aptos" w:cs="Aptos" w:eastAsia="Aptos" w:hAnsi="Aptos"/>
                <w:color w:val="5B6573"/>
                <w:sz w:val="17"/>
                <w:szCs w:val="17"/>
              </w:rPr>
              <w:t xml:space="preserve">     ·     </w:t>
            </w:r>
            <w:r>
              <w:rPr>
                <w:rFonts w:ascii="Aptos" w:cs="Aptos" w:eastAsia="Aptos" w:hAnsi="Aptos"/>
                <w:b/>
                <w:bCs/>
                <w:color w:val="17233A"/>
                <w:sz w:val="17"/>
                <w:szCs w:val="17"/>
              </w:rPr>
              <w:t xml:space="preserve">HS Code: </w:t>
            </w:r>
            <w:r>
              <w:rPr>
                <w:rFonts w:ascii="Aptos" w:cs="Aptos" w:eastAsia="Aptos" w:hAnsi="Aptos"/>
                <w:b/>
                <w:bCs/>
                <w:i w:val="false"/>
                <w:iCs w:val="false"/>
                <w:color w:val="000000"/>
                <w:sz w:val="17"/>
                <w:szCs w:val="17"/>
              </w:rPr>
              <w:t xml:space="preserve">6802.93</w:t>
            </w:r>
            <w:r>
              <w:rPr>
                <w:rFonts w:ascii="Aptos" w:cs="Aptos" w:eastAsia="Aptos" w:hAnsi="Aptos"/>
                <w:color w:val="5B6573"/>
                <w:sz w:val="17"/>
                <w:szCs w:val="17"/>
              </w:rPr>
              <w:t xml:space="preserve">     ·     </w:t>
            </w:r>
            <w:r>
              <w:rPr>
                <w:rFonts w:ascii="Aptos" w:cs="Aptos" w:eastAsia="Aptos" w:hAnsi="Aptos"/>
                <w:b/>
                <w:bCs/>
                <w:color w:val="17233A"/>
                <w:sz w:val="17"/>
                <w:szCs w:val="17"/>
              </w:rPr>
              <w:t xml:space="preserve">Country of Origin: </w:t>
            </w:r>
            <w:r>
              <w:rPr>
                <w:rFonts w:ascii="Aptos" w:cs="Aptos" w:eastAsia="Aptos" w:hAnsi="Aptos"/>
                <w:b/>
                <w:bCs/>
                <w:i w:val="false"/>
                <w:iCs w:val="false"/>
                <w:color w:val="000000"/>
                <w:sz w:val="17"/>
                <w:szCs w:val="17"/>
              </w:rPr>
              <w:t xml:space="preserve">India</w:t>
            </w:r>
          </w:p>
        </w:tc>
      </w:tr>
      <w:tr>
        <w:tc>
          <w:tcPr>
            <w:tcW w:type="dxa" w:w="380"/>
            <w:tcBorders>
              <w:top w:val="single" w:color="D0D8E4" w:sz="2"/>
              <w:left w:val="single" w:color="2D7D56" w:sz="18" w:space="0"/>
              <w:bottom w:val="single" w:color="D0D8E4" w:sz="2"/>
              <w:right w:val="single" w:color="D0D8E4" w:sz="2"/>
            </w:tcBorders>
            <w:shd w:fill="F1F5F9" w:val="clear"/>
            <w:tcMar>
              <w:top w:type="dxa" w:w="90"/>
              <w:left w:type="dxa" w:w="60"/>
              <w:bottom w:type="dxa" w:w="90"/>
              <w:right w:type="dxa" w:w="60"/>
            </w:tcMar>
          </w:tcPr>
          <w:p>
            <w:pPr>
              <w:jc w:val="center"/>
            </w:pPr>
            <w:r>
              <w:rPr>
                <w:rFonts w:ascii="Aptos" w:cs="Aptos" w:eastAsia="Aptos" w:hAnsi="Aptos"/>
                <w:b/>
                <w:bCs/>
                <w:color w:val="2D7D56"/>
                <w:sz w:val="20"/>
                <w:szCs w:val="20"/>
              </w:rPr>
              <w:t xml:space="preserve">2</w:t>
            </w:r>
          </w:p>
        </w:tc>
        <w:tc>
          <w:tcPr>
            <w:tcW w:type="dxa" w:w="4200"/>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00"/>
            </w:tcMar>
          </w:tcPr>
          <w:p>
            <w:r>
              <w:rPr>
                <w:rFonts w:ascii="Aptos" w:cs="Aptos" w:eastAsia="Aptos" w:hAnsi="Aptos"/>
                <w:b w:val="false"/>
                <w:bCs w:val="false"/>
                <w:i/>
                <w:iCs/>
                <w:color w:val="5B6573"/>
                <w:sz w:val="19"/>
                <w:szCs w:val="19"/>
              </w:rPr>
              <w:t xml:space="preserve">[Second product if applicable — delete if single product]</w:t>
            </w:r>
          </w:p>
        </w:tc>
        <w:tc>
          <w:tcPr>
            <w:tcW w:type="dxa" w:w="700"/>
            <w:tcBorders>
              <w:top w:val="single" w:color="D0D8E4" w:sz="2"/>
              <w:left w:val="single" w:color="D0D8E4" w:sz="2"/>
              <w:bottom w:val="single" w:color="D0D8E4" w:sz="2"/>
              <w:right w:val="single" w:color="D0D8E4" w:sz="2"/>
            </w:tcBorders>
            <w:shd w:fill="FFFFFF" w:val="clear"/>
            <w:tcMar>
              <w:top w:type="dxa" w:w="90"/>
              <w:left w:type="dxa" w:w="80"/>
              <w:bottom w:type="dxa" w:w="90"/>
              <w:right w:type="dxa" w:w="80"/>
            </w:tcMar>
          </w:tcPr>
          <w:p>
            <w:pPr>
              <w:jc w:val="right"/>
            </w:pPr>
            <w:r>
              <w:rPr>
                <w:rFonts w:ascii="Aptos" w:cs="Aptos" w:eastAsia="Aptos" w:hAnsi="Aptos"/>
                <w:i/>
                <w:iCs/>
                <w:color w:val="5B6573"/>
                <w:sz w:val="19"/>
                <w:szCs w:val="19"/>
              </w:rPr>
              <w:t xml:space="preserve">[qty]</w:t>
            </w:r>
          </w:p>
        </w:tc>
        <w:tc>
          <w:tcPr>
            <w:tcW w:type="dxa" w:w="700"/>
            <w:tcBorders>
              <w:top w:val="single" w:color="D0D8E4" w:sz="2"/>
              <w:left w:val="single" w:color="D0D8E4" w:sz="2"/>
              <w:bottom w:val="single" w:color="D0D8E4" w:sz="2"/>
              <w:right w:val="single" w:color="D0D8E4" w:sz="2"/>
            </w:tcBorders>
            <w:shd w:fill="F1F5F9" w:val="clear"/>
            <w:tcMar>
              <w:top w:type="dxa" w:w="90"/>
              <w:left w:type="dxa" w:w="80"/>
              <w:bottom w:type="dxa" w:w="90"/>
              <w:right w:type="dxa" w:w="80"/>
            </w:tcMar>
          </w:tcPr>
          <w:p>
            <w:pPr>
              <w:jc w:val="center"/>
            </w:pPr>
            <w:r>
              <w:rPr>
                <w:rFonts w:ascii="Aptos" w:cs="Aptos" w:eastAsia="Aptos" w:hAnsi="Aptos"/>
                <w:b/>
                <w:bCs/>
                <w:i/>
                <w:iCs/>
                <w:color w:val="5B6573"/>
                <w:sz w:val="18"/>
                <w:szCs w:val="18"/>
              </w:rPr>
              <w:t xml:space="preserve">[unit]</w:t>
            </w:r>
          </w:p>
        </w:tc>
        <w:tc>
          <w:tcPr>
            <w:tcW w:type="dxa" w:w="1400"/>
            <w:tcBorders>
              <w:top w:val="single" w:color="D0D8E4" w:sz="2"/>
              <w:left w:val="single" w:color="D0D8E4" w:sz="2"/>
              <w:bottom w:val="single" w:color="D0D8E4" w:sz="2"/>
              <w:right w:val="single" w:color="D0D8E4" w:sz="2"/>
            </w:tcBorders>
            <w:shd w:fill="FFFFFF" w:val="clear"/>
            <w:tcMar>
              <w:top w:type="dxa" w:w="90"/>
              <w:left w:type="dxa" w:w="80"/>
              <w:bottom w:type="dxa" w:w="90"/>
              <w:right w:type="dxa" w:w="80"/>
            </w:tcMar>
          </w:tcPr>
          <w:p>
            <w:pPr>
              <w:jc w:val="right"/>
            </w:pPr>
            <w:r>
              <w:rPr>
                <w:rFonts w:ascii="Aptos" w:cs="Aptos" w:eastAsia="Aptos" w:hAnsi="Aptos"/>
                <w:i/>
                <w:iCs/>
                <w:color w:val="5B6573"/>
                <w:sz w:val="19"/>
                <w:szCs w:val="19"/>
              </w:rPr>
              <w:t xml:space="preserve">[price]</w:t>
            </w:r>
          </w:p>
        </w:tc>
        <w:tc>
          <w:tcPr>
            <w:tcW w:type="dxa" w:w="2258"/>
            <w:tcBorders>
              <w:top w:val="single" w:color="D0D8E4" w:sz="2"/>
              <w:left w:val="single" w:color="D0D8E4" w:sz="2"/>
              <w:bottom w:val="single" w:color="D0D8E4" w:sz="2"/>
              <w:right w:val="single" w:color="D0D8E4" w:sz="2"/>
            </w:tcBorders>
            <w:shd w:fill="FFFFFF" w:val="clear"/>
            <w:tcMar>
              <w:top w:type="dxa" w:w="90"/>
              <w:left w:type="dxa" w:w="80"/>
              <w:bottom w:type="dxa" w:w="90"/>
              <w:right w:type="dxa" w:w="80"/>
            </w:tcMar>
          </w:tcPr>
          <w:p>
            <w:pPr>
              <w:jc w:val="right"/>
            </w:pPr>
            <w:r>
              <w:rPr>
                <w:rFonts w:ascii="Aptos" w:cs="Aptos" w:eastAsia="Aptos" w:hAnsi="Aptos"/>
                <w:b w:val="false"/>
                <w:bCs w:val="false"/>
                <w:i/>
                <w:iCs/>
                <w:color w:val="5B6573"/>
                <w:sz w:val="19"/>
                <w:szCs w:val="19"/>
              </w:rPr>
              <w:t xml:space="preserve">[amount]</w:t>
            </w:r>
          </w:p>
        </w:tc>
      </w:tr>
      <w:tr>
        <w:tc>
          <w:tcPr>
            <w:tcW w:type="dxa" w:w="9638"/>
            <w:gridSpan w:val="6"/>
            <w:tcBorders>
              <w:top w:val="none" w:color="auto" w:sz="0"/>
              <w:left w:val="single" w:color="2D7D56" w:sz="18" w:space="0"/>
              <w:bottom w:val="single" w:color="D0D8E4" w:sz="2"/>
              <w:right w:val="single" w:color="D0D8E4" w:sz="2"/>
            </w:tcBorders>
            <w:shd w:fill="EFF3F7" w:val="clear"/>
            <w:tcMar>
              <w:top w:type="dxa" w:w="60"/>
              <w:left w:type="dxa" w:w="120"/>
              <w:bottom w:type="dxa" w:w="60"/>
              <w:right w:type="dxa" w:w="120"/>
            </w:tcMar>
          </w:tcPr>
          <w:p>
            <w:r>
              <w:rPr>
                <w:rFonts w:ascii="Aptos" w:cs="Aptos" w:eastAsia="Aptos" w:hAnsi="Aptos"/>
                <w:b/>
                <w:bCs/>
                <w:color w:val="2D7D56"/>
                <w:sz w:val="17"/>
                <w:szCs w:val="17"/>
              </w:rPr>
              <w:t xml:space="preserve">2.  </w:t>
            </w:r>
            <w:r>
              <w:rPr>
                <w:rFonts w:ascii="Aptos" w:cs="Aptos" w:eastAsia="Aptos" w:hAnsi="Aptos"/>
                <w:b/>
                <w:bCs/>
                <w:color w:val="17233A"/>
                <w:sz w:val="17"/>
                <w:szCs w:val="17"/>
              </w:rPr>
              <w:t xml:space="preserve">Dimensions: </w:t>
            </w:r>
            <w:r>
              <w:rPr>
                <w:rFonts w:ascii="Aptos" w:cs="Aptos" w:eastAsia="Aptos" w:hAnsi="Aptos"/>
                <w:b w:val="false"/>
                <w:bCs w:val="false"/>
                <w:i/>
                <w:iCs/>
                <w:color w:val="5B6573"/>
                <w:sz w:val="17"/>
                <w:szCs w:val="17"/>
              </w:rPr>
              <w:t xml:space="preserve">[dimensions]</w:t>
            </w:r>
            <w:r>
              <w:rPr>
                <w:rFonts w:ascii="Aptos" w:cs="Aptos" w:eastAsia="Aptos" w:hAnsi="Aptos"/>
                <w:color w:val="5B6573"/>
                <w:sz w:val="17"/>
                <w:szCs w:val="17"/>
              </w:rPr>
              <w:t xml:space="preserve">     ·     </w:t>
            </w:r>
            <w:r>
              <w:rPr>
                <w:rFonts w:ascii="Aptos" w:cs="Aptos" w:eastAsia="Aptos" w:hAnsi="Aptos"/>
                <w:b/>
                <w:bCs/>
                <w:color w:val="17233A"/>
                <w:sz w:val="17"/>
                <w:szCs w:val="17"/>
              </w:rPr>
              <w:t xml:space="preserve">Finish: </w:t>
            </w:r>
            <w:r>
              <w:rPr>
                <w:rFonts w:ascii="Aptos" w:cs="Aptos" w:eastAsia="Aptos" w:hAnsi="Aptos"/>
                <w:b w:val="false"/>
                <w:bCs w:val="false"/>
                <w:i/>
                <w:iCs/>
                <w:color w:val="5B6573"/>
                <w:sz w:val="17"/>
                <w:szCs w:val="17"/>
              </w:rPr>
              <w:t xml:space="preserve">[finish]</w:t>
            </w:r>
            <w:r>
              <w:rPr>
                <w:rFonts w:ascii="Aptos" w:cs="Aptos" w:eastAsia="Aptos" w:hAnsi="Aptos"/>
                <w:color w:val="5B6573"/>
                <w:sz w:val="17"/>
                <w:szCs w:val="17"/>
              </w:rPr>
              <w:t xml:space="preserve">     ·     </w:t>
            </w:r>
            <w:r>
              <w:rPr>
                <w:rFonts w:ascii="Aptos" w:cs="Aptos" w:eastAsia="Aptos" w:hAnsi="Aptos"/>
                <w:b/>
                <w:bCs/>
                <w:color w:val="17233A"/>
                <w:sz w:val="17"/>
                <w:szCs w:val="17"/>
              </w:rPr>
              <w:t xml:space="preserve">HS Code: </w:t>
            </w:r>
            <w:r>
              <w:rPr>
                <w:rFonts w:ascii="Aptos" w:cs="Aptos" w:eastAsia="Aptos" w:hAnsi="Aptos"/>
                <w:b/>
                <w:bCs/>
                <w:i w:val="false"/>
                <w:iCs w:val="false"/>
                <w:color w:val="000000"/>
                <w:sz w:val="17"/>
                <w:szCs w:val="17"/>
              </w:rPr>
              <w:t xml:space="preserve">6802.93</w:t>
            </w:r>
            <w:r>
              <w:rPr>
                <w:rFonts w:ascii="Aptos" w:cs="Aptos" w:eastAsia="Aptos" w:hAnsi="Aptos"/>
                <w:color w:val="5B6573"/>
                <w:sz w:val="17"/>
                <w:szCs w:val="17"/>
              </w:rPr>
              <w:t xml:space="preserve">     ·     </w:t>
            </w:r>
            <w:r>
              <w:rPr>
                <w:rFonts w:ascii="Aptos" w:cs="Aptos" w:eastAsia="Aptos" w:hAnsi="Aptos"/>
                <w:b/>
                <w:bCs/>
                <w:color w:val="17233A"/>
                <w:sz w:val="17"/>
                <w:szCs w:val="17"/>
              </w:rPr>
              <w:t xml:space="preserve">Country of Origin: </w:t>
            </w:r>
            <w:r>
              <w:rPr>
                <w:rFonts w:ascii="Aptos" w:cs="Aptos" w:eastAsia="Aptos" w:hAnsi="Aptos"/>
                <w:b/>
                <w:bCs/>
                <w:i w:val="false"/>
                <w:iCs w:val="false"/>
                <w:color w:val="000000"/>
                <w:sz w:val="17"/>
                <w:szCs w:val="17"/>
              </w:rPr>
              <w:t xml:space="preserve">India</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0"/>
        <w:gridCol w:w="4338"/>
      </w:tblGrid>
      <w:tr>
        <w:tc>
          <w:tcPr>
            <w:tcW w:type="dxa" w:w="53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jc w:val="right"/>
            </w:pPr>
            <w:r>
              <w:rPr>
                <w:rFonts w:ascii="Aptos" w:cs="Aptos" w:eastAsia="Aptos" w:hAnsi="Aptos"/>
                <w:b w:val="false"/>
                <w:bCs w:val="false"/>
                <w:color w:val="17233A"/>
                <w:sz w:val="19"/>
                <w:szCs w:val="19"/>
              </w:rPr>
              <w:t xml:space="preserve">[Product 1 description]  ([qty] [unit] × [unit price])</w:t>
            </w:r>
          </w:p>
        </w:tc>
        <w:tc>
          <w:tcPr>
            <w:tcW w:type="dxa" w:w="43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jc w:val="right"/>
            </w:pPr>
            <w:r>
              <w:rPr>
                <w:rFonts w:ascii="Aptos" w:cs="Aptos" w:eastAsia="Aptos" w:hAnsi="Aptos"/>
                <w:b w:val="false"/>
                <w:bCs w:val="false"/>
                <w:i/>
                <w:iCs/>
                <w:color w:val="5B6573"/>
                <w:sz w:val="19"/>
                <w:szCs w:val="19"/>
              </w:rPr>
              <w:t xml:space="preserve">[USD XXXXX.XX]</w:t>
            </w:r>
          </w:p>
        </w:tc>
      </w:tr>
      <w:tr>
        <w:tc>
          <w:tcPr>
            <w:tcW w:type="dxa" w:w="53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jc w:val="right"/>
            </w:pPr>
            <w:r>
              <w:rPr>
                <w:rFonts w:ascii="Aptos" w:cs="Aptos" w:eastAsia="Aptos" w:hAnsi="Aptos"/>
                <w:b w:val="false"/>
                <w:bCs w:val="false"/>
                <w:color w:val="17233A"/>
                <w:sz w:val="19"/>
                <w:szCs w:val="19"/>
              </w:rPr>
              <w:t xml:space="preserve">[Product 2 — delete if single product]</w:t>
            </w:r>
          </w:p>
        </w:tc>
        <w:tc>
          <w:tcPr>
            <w:tcW w:type="dxa" w:w="4338"/>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jc w:val="right"/>
            </w:pPr>
            <w:r>
              <w:rPr>
                <w:rFonts w:ascii="Aptos" w:cs="Aptos" w:eastAsia="Aptos" w:hAnsi="Aptos"/>
                <w:b w:val="false"/>
                <w:bCs w:val="false"/>
                <w:i/>
                <w:iCs/>
                <w:color w:val="5B6573"/>
                <w:sz w:val="19"/>
                <w:szCs w:val="19"/>
              </w:rPr>
              <w:t xml:space="preserve">[USD XXXXX.XX]</w:t>
            </w:r>
          </w:p>
        </w:tc>
      </w:tr>
      <w:tr>
        <w:tc>
          <w:tcPr>
            <w:tcW w:type="dxa" w:w="5300"/>
            <w:tcBorders>
              <w:top w:val="single" w:color="D0D8E4" w:sz="2"/>
              <w:left w:val="single" w:color="D0D8E4" w:sz="2"/>
              <w:bottom w:val="single" w:color="D0D8E4" w:sz="2"/>
              <w:right w:val="single" w:color="D0D8E4" w:sz="2"/>
            </w:tcBorders>
            <w:shd w:fill="17233A" w:val="clear"/>
            <w:tcMar>
              <w:top w:type="dxa" w:w="80"/>
              <w:left w:type="dxa" w:w="160"/>
              <w:bottom w:type="dxa" w:w="80"/>
              <w:right w:type="dxa" w:w="160"/>
            </w:tcMar>
          </w:tcPr>
          <w:p>
            <w:pPr>
              <w:jc w:val="right"/>
            </w:pPr>
            <w:r>
              <w:rPr>
                <w:rFonts w:ascii="Aptos" w:cs="Aptos" w:eastAsia="Aptos" w:hAnsi="Aptos"/>
                <w:b/>
                <w:bCs/>
                <w:color w:val="FFFFFF"/>
                <w:sz w:val="21"/>
                <w:szCs w:val="21"/>
              </w:rPr>
              <w:t xml:space="preserve">TOTAL PI VALUE (USD) *</w:t>
            </w:r>
          </w:p>
        </w:tc>
        <w:tc>
          <w:tcPr>
            <w:tcW w:type="dxa" w:w="4338"/>
            <w:tcBorders>
              <w:top w:val="single" w:color="D0D8E4" w:sz="2"/>
              <w:left w:val="single" w:color="D0D8E4" w:sz="2"/>
              <w:bottom w:val="single" w:color="D0D8E4" w:sz="2"/>
              <w:right w:val="single" w:color="D0D8E4" w:sz="2"/>
            </w:tcBorders>
            <w:shd w:fill="173B73" w:val="clear"/>
            <w:tcMar>
              <w:top w:type="dxa" w:w="80"/>
              <w:left w:type="dxa" w:w="160"/>
              <w:bottom w:type="dxa" w:w="80"/>
              <w:right w:type="dxa" w:w="160"/>
            </w:tcMar>
          </w:tcPr>
          <w:p>
            <w:pPr>
              <w:jc w:val="right"/>
            </w:pPr>
            <w:r>
              <w:rPr>
                <w:rFonts w:ascii="Aptos" w:cs="Aptos" w:eastAsia="Aptos" w:hAnsi="Aptos"/>
                <w:b/>
                <w:bCs/>
                <w:i w:val="false"/>
                <w:iCs w:val="false"/>
                <w:color w:val="FFFFFF"/>
                <w:sz w:val="21"/>
                <w:szCs w:val="21"/>
              </w:rPr>
              <w:t xml:space="preserve">[Sum of all lines above]</w:t>
            </w:r>
          </w:p>
        </w:tc>
      </w:tr>
    </w:tbl>
    <w:p>
      <w:pPr>
        <w:spacing w:after="80" w:before="0"/>
      </w:pPr>
    </w:p>
    <w:p>
      <w:pPr>
        <w:spacing w:after="60"/>
      </w:pPr>
      <w:r>
        <w:rPr>
          <w:rFonts w:ascii="Aptos" w:cs="Aptos" w:eastAsia="Aptos" w:hAnsi="Aptos"/>
          <w:b/>
          <w:bCs/>
          <w:color w:val="17233A"/>
          <w:sz w:val="19"/>
          <w:szCs w:val="19"/>
        </w:rPr>
        <w:t xml:space="preserve">Remark:</w:t>
      </w:r>
      <w:r>
        <w:rPr>
          <w:rFonts w:ascii="Aptos" w:cs="Aptos" w:eastAsia="Aptos" w:hAnsi="Aptos"/>
          <w:i/>
          <w:iCs/>
          <w:color w:val="5B6573"/>
          <w:sz w:val="19"/>
          <w:szCs w:val="19"/>
        </w:rPr>
        <w:t xml:space="preserve">   Loading quantity subject to final packing confirmation.</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90"/>
        <w:gridCol w:w="4048"/>
      </w:tblGrid>
      <w:tr>
        <w:tc>
          <w:tcPr>
            <w:tcW w:type="dxa" w:w="559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jc w:val="right"/>
            </w:pPr>
            <w:r>
              <w:rPr>
                <w:rFonts w:ascii="Aptos" w:cs="Aptos" w:eastAsia="Aptos" w:hAnsi="Aptos"/>
                <w:b/>
                <w:bCs/>
                <w:color w:val="17233A"/>
                <w:sz w:val="19"/>
                <w:szCs w:val="19"/>
              </w:rPr>
              <w:t xml:space="preserve">FOB Value (USD) *</w:t>
            </w:r>
            <w:r>
              <w:rPr>
                <w:rFonts w:ascii="Aptos" w:cs="Aptos" w:eastAsia="Aptos" w:hAnsi="Aptos"/>
                <w:b/>
                <w:bCs/>
                <w:color w:val="C0392B"/>
                <w:sz w:val="19"/>
                <w:szCs w:val="19"/>
              </w:rPr>
              <w:t xml:space="preserve"> *</w:t>
            </w:r>
          </w:p>
        </w:tc>
        <w:tc>
          <w:tcPr>
            <w:tcW w:type="dxa" w:w="404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jc w:val="right"/>
            </w:pPr>
            <w:r>
              <w:rPr>
                <w:rFonts w:ascii="Aptos" w:cs="Aptos" w:eastAsia="Aptos" w:hAnsi="Aptos"/>
                <w:b w:val="false"/>
                <w:bCs w:val="false"/>
                <w:i/>
                <w:iCs/>
                <w:color w:val="5B6573"/>
                <w:sz w:val="18"/>
                <w:szCs w:val="18"/>
              </w:rPr>
              <w:t xml:space="preserve">[Sum of all product line amounts above — must match Quotation]</w:t>
            </w:r>
            <w:r>
              <w:rPr>
                <w:rFonts w:ascii="Aptos" w:cs="Aptos" w:eastAsia="Aptos" w:hAnsi="Aptos"/>
                <w:b/>
                <w:bCs/>
                <w:color w:val="C0392B"/>
                <w:sz w:val="19"/>
                <w:szCs w:val="19"/>
              </w:rPr>
              <w:t xml:space="preserve"> *</w:t>
            </w:r>
          </w:p>
        </w:tc>
      </w:tr>
      <w:tr>
        <w:tc>
          <w:tcPr>
            <w:tcW w:type="dxa" w:w="559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jc w:val="right"/>
            </w:pPr>
            <w:r>
              <w:rPr>
                <w:rFonts w:ascii="Aptos" w:cs="Aptos" w:eastAsia="Aptos" w:hAnsi="Aptos"/>
                <w:b/>
                <w:bCs/>
                <w:color w:val="17233A"/>
                <w:sz w:val="19"/>
                <w:szCs w:val="19"/>
              </w:rPr>
              <w:t xml:space="preserve">Freight (USD)</w:t>
            </w:r>
          </w:p>
        </w:tc>
        <w:tc>
          <w:tcPr>
            <w:tcW w:type="dxa" w:w="4048"/>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jc w:val="right"/>
            </w:pPr>
            <w:r>
              <w:rPr>
                <w:rFonts w:ascii="Aptos" w:cs="Aptos" w:eastAsia="Aptos" w:hAnsi="Aptos"/>
                <w:b w:val="false"/>
                <w:bCs w:val="false"/>
                <w:i w:val="false"/>
                <w:iCs w:val="false"/>
                <w:color w:val="17233A"/>
                <w:sz w:val="18"/>
                <w:szCs w:val="18"/>
              </w:rPr>
              <w:t xml:space="preserve">FOB: NIL — freight arranged by buyer.
CFR/CIF: Indicative approx. USD [XXX–XXX] per 20ft FCL, Chennai to [Port of Discharge]. Subject to confirmation at time of booking. Actual freight confirmed and recovered IN ADVANCE by separate Freight Debit Note when cargo is packed and ready — payment required within 3 working days, and must be received BEFORE shipment booking is confirmed.</w:t>
            </w:r>
          </w:p>
        </w:tc>
      </w:tr>
      <w:tr>
        <w:tc>
          <w:tcPr>
            <w:tcW w:type="dxa" w:w="559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jc w:val="right"/>
            </w:pPr>
            <w:r>
              <w:rPr>
                <w:rFonts w:ascii="Aptos" w:cs="Aptos" w:eastAsia="Aptos" w:hAnsi="Aptos"/>
                <w:b/>
                <w:bCs/>
                <w:color w:val="17233A"/>
                <w:sz w:val="19"/>
                <w:szCs w:val="19"/>
              </w:rPr>
              <w:t xml:space="preserve">Insurance (USD)</w:t>
            </w:r>
          </w:p>
        </w:tc>
        <w:tc>
          <w:tcPr>
            <w:tcW w:type="dxa" w:w="404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jc w:val="right"/>
            </w:pPr>
            <w:r>
              <w:rPr>
                <w:rFonts w:ascii="Aptos" w:cs="Aptos" w:eastAsia="Aptos" w:hAnsi="Aptos"/>
                <w:b w:val="false"/>
                <w:bCs w:val="false"/>
                <w:i w:val="false"/>
                <w:iCs w:val="false"/>
                <w:color w:val="17233A"/>
                <w:sz w:val="18"/>
                <w:szCs w:val="18"/>
              </w:rPr>
              <w:t xml:space="preserve">FOB/CFR: NIL — buyer's responsibility.
CIF: Indicative approx. USD [XX–XX]. Confirmed by Freight Debit Note when cargo is ready.</w:t>
            </w:r>
          </w:p>
        </w:tc>
      </w:tr>
      <w:tr>
        <w:tc>
          <w:tcPr>
            <w:tcW w:type="dxa" w:w="5590"/>
            <w:tcBorders>
              <w:top w:val="single" w:color="D0D8E4" w:sz="2"/>
              <w:left w:val="single" w:color="D0D8E4" w:sz="2"/>
              <w:bottom w:val="single" w:color="D0D8E4" w:sz="2"/>
              <w:right w:val="single" w:color="D0D8E4" w:sz="2"/>
            </w:tcBorders>
            <w:shd w:fill="17233A" w:val="clear"/>
            <w:tcMar>
              <w:top w:type="dxa" w:w="80"/>
              <w:left w:type="dxa" w:w="160"/>
              <w:bottom w:type="dxa" w:w="80"/>
              <w:right w:type="dxa" w:w="160"/>
            </w:tcMar>
          </w:tcPr>
          <w:p>
            <w:pPr>
              <w:jc w:val="right"/>
            </w:pPr>
            <w:r>
              <w:rPr>
                <w:rFonts w:ascii="Aptos" w:cs="Aptos" w:eastAsia="Aptos" w:hAnsi="Aptos"/>
                <w:b/>
                <w:bCs/>
                <w:color w:val="FFFFFF"/>
                <w:sz w:val="21"/>
                <w:szCs w:val="21"/>
              </w:rPr>
              <w:t xml:space="preserve">TOTAL PI VALUE (USD) *</w:t>
            </w:r>
          </w:p>
        </w:tc>
        <w:tc>
          <w:tcPr>
            <w:tcW w:type="dxa" w:w="4048"/>
            <w:tcBorders>
              <w:top w:val="single" w:color="D0D8E4" w:sz="2"/>
              <w:left w:val="single" w:color="D0D8E4" w:sz="2"/>
              <w:bottom w:val="single" w:color="D0D8E4" w:sz="2"/>
              <w:right w:val="single" w:color="D0D8E4" w:sz="2"/>
            </w:tcBorders>
            <w:shd w:fill="173B73" w:val="clear"/>
            <w:tcMar>
              <w:top w:type="dxa" w:w="80"/>
              <w:left w:type="dxa" w:w="160"/>
              <w:bottom w:type="dxa" w:w="80"/>
              <w:right w:type="dxa" w:w="160"/>
            </w:tcMar>
          </w:tcPr>
          <w:p>
            <w:pPr>
              <w:jc w:val="right"/>
            </w:pPr>
            <w:r>
              <w:rPr>
                <w:rFonts w:ascii="Aptos" w:cs="Aptos" w:eastAsia="Aptos" w:hAnsi="Aptos"/>
                <w:b/>
                <w:bCs/>
                <w:i/>
                <w:iCs/>
                <w:color w:val="FFFFFF"/>
                <w:sz w:val="21"/>
                <w:szCs w:val="21"/>
              </w:rPr>
              <w:t xml:space="preserve">[FOB + Freight + Insurance as applicable — must match Quotation total]</w:t>
            </w:r>
          </w:p>
        </w:tc>
      </w:tr>
    </w:tbl>
    <w:p>
      <w:pPr>
        <w:spacing w:after="160" w:before="0"/>
      </w:pPr>
    </w:p>
    <w:p>
      <w:pPr>
        <w:spacing w:after="80"/>
      </w:pPr>
      <w:r>
        <w:rPr>
          <w:rFonts w:ascii="Aptos" w:cs="Aptos" w:eastAsia="Aptos" w:hAnsi="Aptos"/>
          <w:b/>
          <w:bCs/>
          <w:color w:val="17233A"/>
          <w:sz w:val="21"/>
          <w:szCs w:val="21"/>
        </w:rPr>
        <w:t xml:space="preserve">Weight &amp; Volume  </w:t>
      </w:r>
      <w:r>
        <w:rPr>
          <w:rFonts w:ascii="Aptos" w:cs="Aptos" w:eastAsia="Aptos" w:hAnsi="Aptos"/>
          <w:i/>
          <w:iCs/>
          <w:color w:val="5B6573"/>
          <w:sz w:val="18"/>
          <w:szCs w:val="18"/>
        </w:rPr>
        <w:t xml:space="preserve">(Estimated — actuals confirmed on Packing List after production and packing)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4038"/>
        <w:gridCol w:w="1600"/>
      </w:tblGrid>
      <w:tr>
        <w:tc>
          <w:tcPr>
            <w:tcW w:type="dxa" w:w="4000"/>
            <w:tcBorders>
              <w:top w:val="single" w:color="D0D8E4" w:sz="2"/>
              <w:left w:val="single" w:color="D0D8E4" w:sz="2"/>
              <w:bottom w:val="single" w:color="D0D8E4" w:sz="2"/>
              <w:right w:val="single" w:color="D0D8E4" w:sz="2"/>
            </w:tcBorders>
            <w:shd w:fill="173B73" w:val="clear"/>
            <w:tcMar>
              <w:top w:type="dxa" w:w="100"/>
              <w:left w:type="dxa" w:w="120"/>
              <w:bottom w:type="dxa" w:w="100"/>
              <w:right w:type="dxa" w:w="120"/>
            </w:tcMar>
          </w:tcPr>
          <w:p>
            <w:r>
              <w:rPr>
                <w:rFonts w:ascii="Aptos" w:cs="Aptos" w:eastAsia="Aptos" w:hAnsi="Aptos"/>
                <w:b/>
                <w:bCs/>
                <w:color w:val="FFFFFF"/>
                <w:sz w:val="19"/>
                <w:szCs w:val="19"/>
              </w:rPr>
              <w:t xml:space="preserve">Parameter</w:t>
            </w:r>
          </w:p>
        </w:tc>
        <w:tc>
          <w:tcPr>
            <w:tcW w:type="dxa" w:w="4038"/>
            <w:tcBorders>
              <w:top w:val="single" w:color="D0D8E4" w:sz="2"/>
              <w:left w:val="single" w:color="D0D8E4" w:sz="2"/>
              <w:bottom w:val="single" w:color="D0D8E4" w:sz="2"/>
              <w:right w:val="single" w:color="D0D8E4" w:sz="2"/>
            </w:tcBorders>
            <w:shd w:fill="173B73" w:val="clear"/>
            <w:tcMar>
              <w:top w:type="dxa" w:w="100"/>
              <w:left w:type="dxa" w:w="120"/>
              <w:bottom w:type="dxa" w:w="100"/>
              <w:right w:type="dxa" w:w="120"/>
            </w:tcMar>
          </w:tcPr>
          <w:p>
            <w:r>
              <w:rPr>
                <w:rFonts w:ascii="Aptos" w:cs="Aptos" w:eastAsia="Aptos" w:hAnsi="Aptos"/>
                <w:b/>
                <w:bCs/>
                <w:color w:val="FFFFFF"/>
                <w:sz w:val="19"/>
                <w:szCs w:val="19"/>
              </w:rPr>
              <w:t xml:space="preserve">Estimated Value *</w:t>
            </w:r>
          </w:p>
        </w:tc>
        <w:tc>
          <w:tcPr>
            <w:tcW w:type="dxa" w:w="1600"/>
            <w:tcBorders>
              <w:top w:val="single" w:color="D0D8E4" w:sz="2"/>
              <w:left w:val="single" w:color="D0D8E4" w:sz="2"/>
              <w:bottom w:val="single" w:color="D0D8E4" w:sz="2"/>
              <w:right w:val="single" w:color="D0D8E4" w:sz="2"/>
            </w:tcBorders>
            <w:shd w:fill="173B73" w:val="clear"/>
            <w:tcMar>
              <w:top w:type="dxa" w:w="100"/>
              <w:left w:type="dxa" w:w="120"/>
              <w:bottom w:type="dxa" w:w="100"/>
              <w:right w:type="dxa" w:w="120"/>
            </w:tcMar>
          </w:tcPr>
          <w:p>
            <w:r>
              <w:rPr>
                <w:rFonts w:ascii="Aptos" w:cs="Aptos" w:eastAsia="Aptos" w:hAnsi="Aptos"/>
                <w:b/>
                <w:bCs/>
                <w:color w:val="FFFFFF"/>
                <w:sz w:val="19"/>
                <w:szCs w:val="19"/>
              </w:rPr>
              <w:t xml:space="preserve">Unit</w:t>
            </w:r>
          </w:p>
        </w:tc>
      </w:tr>
      <w:tr>
        <w:tc>
          <w:tcPr>
            <w:tcW w:type="dxa" w:w="4000"/>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val="false"/>
                <w:iCs w:val="false"/>
                <w:color w:val="000000"/>
                <w:sz w:val="19"/>
                <w:szCs w:val="19"/>
              </w:rPr>
              <w:t xml:space="preserve">Total CBM (m³)</w:t>
            </w:r>
          </w:p>
        </w:tc>
        <w:tc>
          <w:tcPr>
            <w:tcW w:type="dxa" w:w="4038"/>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iCs/>
                <w:color w:val="5B6573"/>
                <w:sz w:val="19"/>
                <w:szCs w:val="19"/>
              </w:rPr>
              <w:t xml:space="preserve">[e.g., 10.08]</w:t>
            </w:r>
          </w:p>
        </w:tc>
        <w:tc>
          <w:tcPr>
            <w:tcW w:type="dxa" w:w="1600"/>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val="false"/>
                <w:iCs w:val="false"/>
                <w:color w:val="000000"/>
                <w:sz w:val="19"/>
                <w:szCs w:val="19"/>
              </w:rPr>
              <w:t xml:space="preserve">m³</w:t>
            </w:r>
          </w:p>
        </w:tc>
      </w:tr>
      <w:tr>
        <w:tc>
          <w:tcPr>
            <w:tcW w:type="dxa" w:w="4000"/>
            <w:tcBorders>
              <w:top w:val="single" w:color="D0D8E4" w:sz="2"/>
              <w:left w:val="single" w:color="D0D8E4" w:sz="2"/>
              <w:bottom w:val="single" w:color="D0D8E4" w:sz="2"/>
              <w:right w:val="single" w:color="D0D8E4" w:sz="2"/>
            </w:tcBorders>
            <w:shd w:fill="F1F5F9" w:val="clear"/>
            <w:tcMar>
              <w:top w:type="dxa" w:w="80"/>
              <w:left w:type="dxa" w:w="120"/>
              <w:bottom w:type="dxa" w:w="80"/>
              <w:right w:type="dxa" w:w="120"/>
            </w:tcMar>
          </w:tcPr>
          <w:p>
            <w:r>
              <w:rPr>
                <w:rFonts w:ascii="Aptos" w:cs="Aptos" w:eastAsia="Aptos" w:hAnsi="Aptos"/>
                <w:i w:val="false"/>
                <w:iCs w:val="false"/>
                <w:color w:val="000000"/>
                <w:sz w:val="19"/>
                <w:szCs w:val="19"/>
              </w:rPr>
              <w:t xml:space="preserve">Gross Weight (incl. packing)</w:t>
            </w:r>
          </w:p>
        </w:tc>
        <w:tc>
          <w:tcPr>
            <w:tcW w:type="dxa" w:w="4038"/>
            <w:tcBorders>
              <w:top w:val="single" w:color="D0D8E4" w:sz="2"/>
              <w:left w:val="single" w:color="D0D8E4" w:sz="2"/>
              <w:bottom w:val="single" w:color="D0D8E4" w:sz="2"/>
              <w:right w:val="single" w:color="D0D8E4" w:sz="2"/>
            </w:tcBorders>
            <w:shd w:fill="F1F5F9" w:val="clear"/>
            <w:tcMar>
              <w:top w:type="dxa" w:w="80"/>
              <w:left w:type="dxa" w:w="120"/>
              <w:bottom w:type="dxa" w:w="80"/>
              <w:right w:type="dxa" w:w="120"/>
            </w:tcMar>
          </w:tcPr>
          <w:p>
            <w:r>
              <w:rPr>
                <w:rFonts w:ascii="Aptos" w:cs="Aptos" w:eastAsia="Aptos" w:hAnsi="Aptos"/>
                <w:i/>
                <w:iCs/>
                <w:color w:val="5B6573"/>
                <w:sz w:val="19"/>
                <w:szCs w:val="19"/>
              </w:rPr>
              <w:t xml:space="preserve">[e.g., 24,000]</w:t>
            </w:r>
          </w:p>
        </w:tc>
        <w:tc>
          <w:tcPr>
            <w:tcW w:type="dxa" w:w="1600"/>
            <w:tcBorders>
              <w:top w:val="single" w:color="D0D8E4" w:sz="2"/>
              <w:left w:val="single" w:color="D0D8E4" w:sz="2"/>
              <w:bottom w:val="single" w:color="D0D8E4" w:sz="2"/>
              <w:right w:val="single" w:color="D0D8E4" w:sz="2"/>
            </w:tcBorders>
            <w:shd w:fill="F1F5F9" w:val="clear"/>
            <w:tcMar>
              <w:top w:type="dxa" w:w="80"/>
              <w:left w:type="dxa" w:w="120"/>
              <w:bottom w:type="dxa" w:w="80"/>
              <w:right w:type="dxa" w:w="120"/>
            </w:tcMar>
          </w:tcPr>
          <w:p>
            <w:r>
              <w:rPr>
                <w:rFonts w:ascii="Aptos" w:cs="Aptos" w:eastAsia="Aptos" w:hAnsi="Aptos"/>
                <w:i w:val="false"/>
                <w:iCs w:val="false"/>
                <w:color w:val="000000"/>
                <w:sz w:val="19"/>
                <w:szCs w:val="19"/>
              </w:rPr>
              <w:t xml:space="preserve">kg</w:t>
            </w:r>
          </w:p>
        </w:tc>
      </w:tr>
      <w:tr>
        <w:tc>
          <w:tcPr>
            <w:tcW w:type="dxa" w:w="4000"/>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val="false"/>
                <w:iCs w:val="false"/>
                <w:color w:val="000000"/>
                <w:sz w:val="19"/>
                <w:szCs w:val="19"/>
              </w:rPr>
              <w:t xml:space="preserve">Net Weight (stone only)</w:t>
            </w:r>
          </w:p>
        </w:tc>
        <w:tc>
          <w:tcPr>
            <w:tcW w:type="dxa" w:w="4038"/>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iCs/>
                <w:color w:val="5B6573"/>
                <w:sz w:val="19"/>
                <w:szCs w:val="19"/>
              </w:rPr>
              <w:t xml:space="preserve">[e.g., 22,000]</w:t>
            </w:r>
          </w:p>
        </w:tc>
        <w:tc>
          <w:tcPr>
            <w:tcW w:type="dxa" w:w="1600"/>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val="false"/>
                <w:iCs w:val="false"/>
                <w:color w:val="000000"/>
                <w:sz w:val="19"/>
                <w:szCs w:val="19"/>
              </w:rPr>
              <w:t xml:space="preserve">kg</w:t>
            </w:r>
          </w:p>
        </w:tc>
      </w:tr>
      <w:tr>
        <w:tc>
          <w:tcPr>
            <w:tcW w:type="dxa" w:w="4000"/>
            <w:tcBorders>
              <w:top w:val="single" w:color="D0D8E4" w:sz="2"/>
              <w:left w:val="single" w:color="D0D8E4" w:sz="2"/>
              <w:bottom w:val="single" w:color="D0D8E4" w:sz="2"/>
              <w:right w:val="single" w:color="D0D8E4" w:sz="2"/>
            </w:tcBorders>
            <w:shd w:fill="F1F5F9" w:val="clear"/>
            <w:tcMar>
              <w:top w:type="dxa" w:w="80"/>
              <w:left w:type="dxa" w:w="120"/>
              <w:bottom w:type="dxa" w:w="80"/>
              <w:right w:type="dxa" w:w="120"/>
            </w:tcMar>
          </w:tcPr>
          <w:p>
            <w:r>
              <w:rPr>
                <w:rFonts w:ascii="Aptos" w:cs="Aptos" w:eastAsia="Aptos" w:hAnsi="Aptos"/>
                <w:i w:val="false"/>
                <w:iCs w:val="false"/>
                <w:color w:val="000000"/>
                <w:sz w:val="19"/>
                <w:szCs w:val="19"/>
              </w:rPr>
              <w:t xml:space="preserve">No. of Packages / Crates</w:t>
            </w:r>
          </w:p>
        </w:tc>
        <w:tc>
          <w:tcPr>
            <w:tcW w:type="dxa" w:w="4038"/>
            <w:tcBorders>
              <w:top w:val="single" w:color="D0D8E4" w:sz="2"/>
              <w:left w:val="single" w:color="D0D8E4" w:sz="2"/>
              <w:bottom w:val="single" w:color="D0D8E4" w:sz="2"/>
              <w:right w:val="single" w:color="D0D8E4" w:sz="2"/>
            </w:tcBorders>
            <w:shd w:fill="F1F5F9" w:val="clear"/>
            <w:tcMar>
              <w:top w:type="dxa" w:w="80"/>
              <w:left w:type="dxa" w:w="120"/>
              <w:bottom w:type="dxa" w:w="80"/>
              <w:right w:type="dxa" w:w="120"/>
            </w:tcMar>
          </w:tcPr>
          <w:p>
            <w:r>
              <w:rPr>
                <w:rFonts w:ascii="Aptos" w:cs="Aptos" w:eastAsia="Aptos" w:hAnsi="Aptos"/>
                <w:i w:val="false"/>
                <w:iCs w:val="false"/>
                <w:color w:val="000000"/>
                <w:sz w:val="19"/>
                <w:szCs w:val="19"/>
              </w:rPr>
              <w:t xml:space="preserve">TBD at packing</w:t>
            </w:r>
          </w:p>
        </w:tc>
        <w:tc>
          <w:tcPr>
            <w:tcW w:type="dxa" w:w="1600"/>
            <w:tcBorders>
              <w:top w:val="single" w:color="D0D8E4" w:sz="2"/>
              <w:left w:val="single" w:color="D0D8E4" w:sz="2"/>
              <w:bottom w:val="single" w:color="D0D8E4" w:sz="2"/>
              <w:right w:val="single" w:color="D0D8E4" w:sz="2"/>
            </w:tcBorders>
            <w:shd w:fill="F1F5F9" w:val="clear"/>
            <w:tcMar>
              <w:top w:type="dxa" w:w="80"/>
              <w:left w:type="dxa" w:w="120"/>
              <w:bottom w:type="dxa" w:w="80"/>
              <w:right w:type="dxa" w:w="120"/>
            </w:tcMar>
          </w:tcPr>
          <w:p>
            <w:r>
              <w:rPr>
                <w:rFonts w:ascii="Aptos" w:cs="Aptos" w:eastAsia="Aptos" w:hAnsi="Aptos"/>
                <w:i w:val="false"/>
                <w:iCs w:val="false"/>
                <w:color w:val="000000"/>
                <w:sz w:val="19"/>
                <w:szCs w:val="19"/>
              </w:rPr>
              <w:t xml:space="preserve">Crates</w:t>
            </w:r>
          </w:p>
        </w:tc>
      </w:tr>
      <w:tr>
        <w:tc>
          <w:tcPr>
            <w:tcW w:type="dxa" w:w="4000"/>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val="false"/>
                <w:iCs w:val="false"/>
                <w:color w:val="000000"/>
                <w:sz w:val="19"/>
                <w:szCs w:val="19"/>
              </w:rPr>
              <w:t xml:space="preserve">Package Type</w:t>
            </w:r>
          </w:p>
        </w:tc>
        <w:tc>
          <w:tcPr>
            <w:tcW w:type="dxa" w:w="4038"/>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val="false"/>
                <w:iCs w:val="false"/>
                <w:color w:val="000000"/>
                <w:sz w:val="19"/>
                <w:szCs w:val="19"/>
              </w:rPr>
              <w:t xml:space="preserve">Wooden Crates</w:t>
            </w:r>
          </w:p>
        </w:tc>
        <w:tc>
          <w:tcPr>
            <w:tcW w:type="dxa" w:w="1600"/>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val="false"/>
                <w:iCs w:val="false"/>
                <w:color w:val="000000"/>
                <w:sz w:val="19"/>
                <w:szCs w:val="19"/>
              </w:rPr>
              <w:t xml:space="preserve">—</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4. SHIPPING / COMMERCIAL TERMS</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Incoterm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r>
              <w:rPr>
                <w:rFonts w:ascii="Aptos" w:cs="Aptos" w:eastAsia="Aptos" w:hAnsi="Aptos"/>
                <w:b/>
                <w:bCs/>
                <w:sz w:val="19"/>
                <w:szCs w:val="19"/>
              </w:rPr>
              <w:t xml:space="preserve">FOB Chennai, India — Incoterms® 2020</w:t>
            </w:r>
            <w:r>
              <w:rPr>
                <w:rFonts w:ascii="Aptos" w:cs="Aptos" w:eastAsia="Aptos" w:hAnsi="Aptos"/>
                <w:i/>
                <w:iCs/>
                <w:color w:val="5B6573"/>
                <w:sz w:val="18"/>
                <w:szCs w:val="18"/>
              </w:rPr>
              <w:t xml:space="preserve">  [or CFR / CIF Named Port — Incoterms® 2020]</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Port of Loading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Chennai, India</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Port of Discharge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[e.g., Tilbury UK  /  Marseille France  /  Oslo Norway — must match Quotation]</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Place of Pre-Carriage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[Factory / warehouse location where container is stuffed]</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Container Type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[1 × 20ft FCL  /  1 × 40ft FCL]</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Est. Shipment Date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[e.g., within 4–6 weeks from advance payment clearance date]</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Insurance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r>
              <w:rPr>
                <w:rFonts w:ascii="Aptos" w:cs="Aptos" w:eastAsia="Aptos" w:hAnsi="Aptos"/>
                <w:i/>
                <w:iCs/>
                <w:color w:val="5B6573"/>
                <w:sz w:val="19"/>
                <w:szCs w:val="19"/>
              </w:rPr>
              <w:t xml:space="preserve">FOB / CFR: Buyer's responsibility.  </w:t>
            </w:r>
            <w:r>
              <w:rPr>
                <w:rFonts w:ascii="Aptos" w:cs="Aptos" w:eastAsia="Aptos" w:hAnsi="Aptos"/>
                <w:i/>
                <w:iCs/>
                <w:color w:val="5B6573"/>
                <w:sz w:val="19"/>
                <w:szCs w:val="19"/>
              </w:rPr>
              <w:t xml:space="preserve">CIF: Seller arranges — cost included in invoice.</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5. PAYMENT TERMS</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D0D8E4" w:sz="2"/>
              <w:bottom w:val="single" w:color="D0D8E4" w:sz="2"/>
              <w:right w:val="single" w:color="D0D8E4" w:sz="2"/>
            </w:tcBorders>
            <w:tcMar>
              <w:top w:type="dxa" w:w="120"/>
              <w:left w:type="dxa" w:w="200"/>
              <w:bottom w:type="dxa" w:w="120"/>
              <w:right w:type="dxa" w:w="200"/>
            </w:tcMar>
          </w:tcPr>
          <w:p>
            <w:pPr>
              <w:spacing w:after="80"/>
            </w:pPr>
            <w:r>
              <w:rPr>
                <w:rFonts w:ascii="Aptos" w:cs="Aptos" w:eastAsia="Aptos" w:hAnsi="Aptos"/>
                <w:b/>
                <w:bCs/>
                <w:sz w:val="19"/>
                <w:szCs w:val="19"/>
              </w:rPr>
              <w:t xml:space="preserve">• 40% advance T/T on FOB Value against this document.  </w:t>
            </w:r>
            <w:r>
              <w:rPr>
                <w:rFonts w:ascii="Aptos" w:cs="Aptos" w:eastAsia="Aptos" w:hAnsi="Aptos"/>
                <w:b/>
                <w:bCs/>
                <w:color w:val="C0392B"/>
                <w:sz w:val="19"/>
                <w:szCs w:val="19"/>
              </w:rPr>
              <w:t xml:space="preserve">*</w:t>
            </w:r>
          </w:p>
          <w:p>
            <w:pPr>
              <w:spacing w:after="100"/>
            </w:pPr>
            <w:r>
              <w:rPr>
                <w:rFonts w:ascii="Aptos" w:cs="Aptos" w:eastAsia="Aptos" w:hAnsi="Aptos"/>
                <w:color w:val="333333"/>
                <w:sz w:val="19"/>
                <w:szCs w:val="19"/>
              </w:rPr>
              <w:t xml:space="preserve">  40% Advance Amount:   USD [XXXXX.XX  =  FOB Value × 0.40]  </w:t>
            </w:r>
            <w:r>
              <w:rPr>
                <w:rFonts w:ascii="Aptos" w:cs="Aptos" w:eastAsia="Aptos" w:hAnsi="Aptos"/>
                <w:b/>
                <w:bCs/>
                <w:color w:val="C0392B"/>
                <w:sz w:val="19"/>
                <w:szCs w:val="19"/>
              </w:rPr>
              <w:t xml:space="preserve">*</w:t>
            </w:r>
          </w:p>
          <w:p>
            <w:pPr>
              <w:spacing w:after="80"/>
            </w:pPr>
            <w:r>
              <w:rPr>
                <w:rFonts w:ascii="Aptos" w:cs="Aptos" w:eastAsia="Aptos" w:hAnsi="Aptos"/>
                <w:b/>
                <w:bCs/>
                <w:sz w:val="19"/>
                <w:szCs w:val="19"/>
              </w:rPr>
              <w:t xml:space="preserve">• 60% balance T/T on FOB Value payable before shipment — within 3 working days of receiving shipment readiness confirmation from NexaCrest.  </w:t>
            </w:r>
            <w:r>
              <w:rPr>
                <w:rFonts w:ascii="Aptos" w:cs="Aptos" w:eastAsia="Aptos" w:hAnsi="Aptos"/>
                <w:b/>
                <w:bCs/>
                <w:color w:val="C0392B"/>
                <w:sz w:val="19"/>
                <w:szCs w:val="19"/>
              </w:rPr>
              <w:t xml:space="preserve">*</w:t>
            </w:r>
          </w:p>
          <w:p>
            <w:pPr>
              <w:spacing w:after="100"/>
            </w:pPr>
            <w:r>
              <w:rPr>
                <w:rFonts w:ascii="Aptos" w:cs="Aptos" w:eastAsia="Aptos" w:hAnsi="Aptos"/>
                <w:color w:val="333333"/>
                <w:sz w:val="19"/>
                <w:szCs w:val="19"/>
              </w:rPr>
              <w:t xml:space="preserve">  60% Balance Amount:   USD [XXXXX.XX  =  FOB Value minus 40% advance received]  </w:t>
            </w:r>
            <w:r>
              <w:rPr>
                <w:rFonts w:ascii="Aptos" w:cs="Aptos" w:eastAsia="Aptos" w:hAnsi="Aptos"/>
                <w:b/>
                <w:bCs/>
                <w:color w:val="C0392B"/>
                <w:sz w:val="19"/>
                <w:szCs w:val="19"/>
              </w:rPr>
              <w:t xml:space="preserve">*</w:t>
            </w:r>
          </w:p>
          <w:p>
            <w:pPr>
              <w:spacing w:after="80"/>
            </w:pPr>
            <w:r>
              <w:rPr>
                <w:rFonts w:ascii="Aptos" w:cs="Aptos" w:eastAsia="Aptos" w:hAnsi="Aptos"/>
                <w:b/>
                <w:bCs/>
                <w:sz w:val="19"/>
                <w:szCs w:val="19"/>
              </w:rPr>
              <w:t xml:space="preserve">• Freight &amp; Insurance (CFR/CIF orders only): </w:t>
            </w:r>
            <w:r>
              <w:rPr>
                <w:rFonts w:ascii="Aptos" w:cs="Aptos" w:eastAsia="Aptos" w:hAnsi="Aptos"/>
                <w:color w:val="333333"/>
                <w:sz w:val="19"/>
                <w:szCs w:val="19"/>
              </w:rPr>
              <w:t xml:space="preserve">Actual confirmed amounts invoiced separately by Freight Debit Note before shipment booking is confirmed. Payment required within 3 working days of Freight Debit Note date.</w:t>
            </w:r>
          </w:p>
          <w:p>
            <w:r>
              <w:rPr>
                <w:rFonts w:ascii="Aptos" w:cs="Aptos" w:eastAsia="Aptos" w:hAnsi="Aptos"/>
                <w:b/>
                <w:bCs/>
                <w:sz w:val="19"/>
                <w:szCs w:val="19"/>
              </w:rPr>
              <w:t xml:space="preserve">  Currency: USD</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6. BANK DETAILS</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Account Holder</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sz w:val="19"/>
                <w:szCs w:val="19"/>
              </w:rPr>
              <w:t xml:space="preserve">NEXACREST INTERNATIONAL PRIVATE LIMITED</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Bank</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State Bank of India</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Branch</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Start Up Hub Branch, Koramangala, Bengaluru</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Account No.</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sz w:val="19"/>
                <w:szCs w:val="19"/>
              </w:rPr>
              <w:t xml:space="preserve">44523788330</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IFSC</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SBIN0064074</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SWIFT / BIC</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sz w:val="19"/>
                <w:szCs w:val="19"/>
              </w:rPr>
              <w:t xml:space="preserve">SBININBB949</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Bank Address</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1st Floor, 117, 7th Block Industrial Layout,
Koramangala, Bengaluru – 560095, India</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Payment Reference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color w:val="185FA5"/>
                <w:sz w:val="19"/>
                <w:szCs w:val="19"/>
              </w:rPr>
              <w:t xml:space="preserve">Please quote PI No. [SC/PI/YYYY/DDMMNNN] in your wire transfer remarks.</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RBI Purpose Code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85FA5"/>
                <w:sz w:val="19"/>
                <w:szCs w:val="19"/>
              </w:rPr>
              <w:t xml:space="preserve">P0103 — enter in the "Purpose of Remittance" field of your wire transfer form.</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7. EXPORT DOCUMENTATION</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D0D8E4" w:sz="2"/>
              <w:bottom w:val="single" w:color="D0D8E4" w:sz="2"/>
              <w:right w:val="single" w:color="D0D8E4" w:sz="2"/>
            </w:tcBorders>
            <w:tcMar>
              <w:top w:type="dxa" w:w="120"/>
              <w:left w:type="dxa" w:w="200"/>
              <w:bottom w:type="dxa" w:w="120"/>
              <w:right w:type="dxa" w:w="200"/>
            </w:tcMar>
          </w:tcPr>
          <w:p>
            <w:pPr>
              <w:spacing w:after="80"/>
            </w:pPr>
            <w:r>
              <w:rPr>
                <w:rFonts w:ascii="Aptos" w:cs="Aptos" w:eastAsia="Aptos" w:hAnsi="Aptos"/>
                <w:b/>
                <w:bCs/>
                <w:sz w:val="19"/>
                <w:szCs w:val="19"/>
              </w:rPr>
              <w:t xml:space="preserve">Upon shipment, the following documents will be provided:</w:t>
            </w:r>
          </w:p>
          <w:p>
            <w:pPr>
              <w:spacing w:after="60"/>
            </w:pPr>
            <w:r>
              <w:rPr>
                <w:rFonts w:ascii="Aptos" w:cs="Aptos" w:eastAsia="Aptos" w:hAnsi="Aptos"/>
                <w:sz w:val="19"/>
                <w:szCs w:val="19"/>
              </w:rPr>
              <w:t xml:space="preserve">1.  Commercial Invoice (signed and stamped)</w:t>
            </w:r>
          </w:p>
          <w:p>
            <w:pPr>
              <w:spacing w:after="60"/>
            </w:pPr>
            <w:r>
              <w:rPr>
                <w:rFonts w:ascii="Aptos" w:cs="Aptos" w:eastAsia="Aptos" w:hAnsi="Aptos"/>
                <w:sz w:val="19"/>
                <w:szCs w:val="19"/>
              </w:rPr>
              <w:t xml:space="preserve">2.  Packing List (signed and stamped)</w:t>
            </w:r>
          </w:p>
          <w:p>
            <w:pPr>
              <w:spacing w:after="60"/>
            </w:pPr>
            <w:r>
              <w:rPr>
                <w:rFonts w:ascii="Aptos" w:cs="Aptos" w:eastAsia="Aptos" w:hAnsi="Aptos"/>
                <w:sz w:val="19"/>
                <w:szCs w:val="19"/>
              </w:rPr>
              <w:t xml:space="preserve">3.  Certificate of Origin — GSP Form A (preferential) or Non-preferential, as confirmed by buyer  |  Issued by CAPEXIL</w:t>
            </w:r>
          </w:p>
          <w:p>
            <w:pPr>
              <w:spacing w:after="60"/>
            </w:pPr>
            <w:r>
              <w:rPr>
                <w:rFonts w:ascii="Aptos" w:cs="Aptos" w:eastAsia="Aptos" w:hAnsi="Aptos"/>
                <w:sz w:val="19"/>
                <w:szCs w:val="19"/>
              </w:rPr>
              <w:t xml:space="preserve">4.  Bill of Lading — Original Negotiable, 3 originals  |  Released to buyer only after 60% balance T/T is received and cleared in NexaCrest bank account</w:t>
            </w:r>
          </w:p>
          <w:p>
            <w:r>
              <w:rPr>
                <w:rFonts w:ascii="Aptos" w:cs="Aptos" w:eastAsia="Aptos" w:hAnsi="Aptos"/>
                <w:sz w:val="19"/>
                <w:szCs w:val="19"/>
              </w:rPr>
              <w:t xml:space="preserve">5.  Fumigation Certificate — provided as standard with every shipment</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8. TERMS &amp; CONDITIONS</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8A1F1F" w:sz="18" w:space="0"/>
              <w:bottom w:val="single" w:color="D0D8E4" w:sz="2"/>
              <w:right w:val="single" w:color="D0D8E4" w:sz="2"/>
            </w:tcBorders>
            <w:shd w:fill="FBEAEA" w:val="clear"/>
            <w:tcMar>
              <w:top w:type="dxa" w:w="120"/>
              <w:left w:type="dxa" w:w="200"/>
              <w:bottom w:type="dxa" w:w="120"/>
              <w:right w:type="dxa" w:w="200"/>
            </w:tcMar>
          </w:tcPr>
          <w:p>
            <w:r>
              <w:rPr>
                <w:rFonts w:ascii="Aptos" w:cs="Aptos" w:eastAsia="Aptos" w:hAnsi="Aptos"/>
                <w:b/>
                <w:bCs/>
                <w:color w:val="8A1F1F"/>
                <w:sz w:val="20"/>
                <w:szCs w:val="20"/>
              </w:rPr>
              <w:t xml:space="preserve">⚠  Annexure A — Product Technical Specifications is attached and forms an integral part of this Proforma Invoice. Refer Annexure A for product images, technical drawings, and component dimensions.</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D0D8E4" w:sz="2"/>
              <w:bottom w:val="single" w:color="D0D8E4" w:sz="2"/>
              <w:right w:val="single" w:color="D0D8E4" w:sz="2"/>
            </w:tcBorders>
            <w:tcMar>
              <w:top w:type="dxa" w:w="120"/>
              <w:left w:type="dxa" w:w="200"/>
              <w:bottom w:type="dxa" w:w="120"/>
              <w:right w:type="dxa" w:w="200"/>
            </w:tcMar>
          </w:tcPr>
          <w:p>
            <w:pPr>
              <w:spacing w:after="80"/>
            </w:pPr>
            <w:r>
              <w:rPr>
                <w:rFonts w:ascii="Aptos" w:cs="Aptos" w:eastAsia="Aptos" w:hAnsi="Aptos"/>
                <w:sz w:val="19"/>
                <w:szCs w:val="19"/>
              </w:rPr>
              <w:t xml:space="preserve">• All prices are in USD. FOB Chennai, India unless otherwise stated.</w:t>
            </w:r>
          </w:p>
          <w:p>
            <w:pPr>
              <w:spacing w:after="80"/>
            </w:pPr>
            <w:r>
              <w:rPr>
                <w:rFonts w:ascii="Aptos" w:cs="Aptos" w:eastAsia="Aptos" w:hAnsi="Aptos"/>
                <w:sz w:val="19"/>
                <w:szCs w:val="19"/>
              </w:rPr>
              <w:t xml:space="preserve">• CFR / CIF orders: freight and insurance shown above are indicative at PI stage. Actual freight will be confirmed once cargo is packed and ready, and recovered IN ADVANCE by Freight Debit Note — payable within 3 working days of issue, and must be received BEFORE shipment booking is confirmed. NexaCrest cannot book the container or hand over cargo to the shipping line until freight payment is received. Freight payment may occur before or simultaneously with the 60% balance T/T.</w:t>
            </w:r>
          </w:p>
          <w:p>
            <w:pPr>
              <w:spacing w:after="80"/>
            </w:pPr>
            <w:r>
              <w:rPr>
                <w:rFonts w:ascii="Aptos" w:cs="Aptos" w:eastAsia="Aptos" w:hAnsi="Aptos"/>
                <w:sz w:val="19"/>
                <w:szCs w:val="19"/>
              </w:rPr>
              <w:t xml:space="preserve">• Weight, CBM, and number of crates are estimates. Actuals will be confirmed on the Packing List after production and packing.</w:t>
            </w:r>
          </w:p>
          <w:p>
            <w:pPr>
              <w:spacing w:after="80"/>
            </w:pPr>
            <w:r>
              <w:rPr>
                <w:rFonts w:ascii="Aptos" w:cs="Aptos" w:eastAsia="Aptos" w:hAnsi="Aptos"/>
                <w:sz w:val="19"/>
                <w:szCs w:val="19"/>
              </w:rPr>
              <w:t xml:space="preserve">• Actual quantity shipped will not exceed the ordered quantity. Minor shortfall within natural granite tolerance may occur and will be invoiced at actuals shipped.</w:t>
            </w:r>
          </w:p>
          <w:p>
            <w:pPr>
              <w:spacing w:after="80"/>
            </w:pPr>
            <w:r>
              <w:rPr>
                <w:rFonts w:ascii="Aptos" w:cs="Aptos" w:eastAsia="Aptos" w:hAnsi="Aptos"/>
                <w:sz w:val="19"/>
                <w:szCs w:val="19"/>
              </w:rPr>
              <w:t xml:space="preserve">• This Proforma Invoice is valid for 15 days from date of issue. After this date, prices and terms are subject to revision. Buyer must notify NexaCrest of acceptance and initiate the 40% advance payment within this period.</w:t>
            </w:r>
          </w:p>
          <w:p>
            <w:pPr>
              <w:spacing w:after="80"/>
            </w:pPr>
            <w:r>
              <w:rPr>
                <w:rFonts w:ascii="Aptos" w:cs="Aptos" w:eastAsia="Aptos" w:hAnsi="Aptos"/>
                <w:sz w:val="19"/>
                <w:szCs w:val="19"/>
              </w:rPr>
              <w:t xml:space="preserve">• Production commences only after the 40% advance payment is CLEARED in NexaCrest's bank account. Remittance copy alone does not constitute payment receipt. Please allow 1–2 banking days for clearance confirmation before expecting production to commence.</w:t>
            </w:r>
          </w:p>
          <w:p>
            <w:pPr>
              <w:spacing w:after="80"/>
            </w:pPr>
            <w:r>
              <w:rPr>
                <w:rFonts w:ascii="Aptos" w:cs="Aptos" w:eastAsia="Aptos" w:hAnsi="Aptos"/>
                <w:sz w:val="19"/>
                <w:szCs w:val="19"/>
              </w:rPr>
              <w:t xml:space="preserve">• Import Clearance &amp; Destination Charges: Unless expressly stated otherwise under the agreed Incoterm, the buyer is solely responsible for import customs clearance, import duties, taxes, VAT, permits, licences and all destination-country charges. NexaCrest bears no responsibility for destination-side costs or delays.</w:t>
            </w:r>
          </w:p>
          <w:p>
            <w:pPr>
              <w:spacing w:after="80"/>
            </w:pPr>
            <w:r>
              <w:rPr>
                <w:rFonts w:ascii="Aptos" w:cs="Aptos" w:eastAsia="Aptos" w:hAnsi="Aptos"/>
                <w:sz w:val="19"/>
                <w:szCs w:val="19"/>
              </w:rPr>
              <w:t xml:space="preserve">• Natural Stone Characteristics: All granite supplied is Grade A quality, selected for colour consistency. As with all natural stone, minor variation in shade, grain and veining may occur between pieces — however, visible dramatic colour difference between components of the same order will not occur. Products will conform to the agreed specification.</w:t>
            </w:r>
          </w:p>
          <w:p>
            <w:pPr>
              <w:spacing w:after="80"/>
            </w:pPr>
            <w:r>
              <w:rPr>
                <w:rFonts w:ascii="Aptos" w:cs="Aptos" w:eastAsia="Aptos" w:hAnsi="Aptos"/>
                <w:sz w:val="19"/>
                <w:szCs w:val="19"/>
              </w:rPr>
              <w:t xml:space="preserve">• Quantity Tolerance: Actual quantity shipped will not exceed the ordered quantity. A shortfall of up to 5% may occur and will be invoiced at actual quantity shipped. Buyer will be notified in writing before shipment of any shortfall. A shortfall exceeding 5% requires buyer's written approval before shipment.</w:t>
            </w:r>
          </w:p>
          <w:p>
            <w:pPr>
              <w:spacing w:after="80"/>
            </w:pPr>
            <w:r>
              <w:rPr>
                <w:rFonts w:ascii="Aptos" w:cs="Aptos" w:eastAsia="Aptos" w:hAnsi="Aptos"/>
                <w:sz w:val="19"/>
                <w:szCs w:val="19"/>
              </w:rPr>
              <w:t xml:space="preserve">• Import Clearance &amp; Destination Charges: Unless expressly stated otherwise under the agreed Incoterm, the buyer is solely responsible for import customs clearance, import duties, taxes, VAT, permits, licences and all destination-country charges. NexaCrest bears no responsibility for destination-side costs or delays.</w:t>
            </w:r>
          </w:p>
          <w:p>
            <w:pPr>
              <w:spacing w:after="80"/>
            </w:pPr>
            <w:r>
              <w:rPr>
                <w:rFonts w:ascii="Aptos" w:cs="Aptos" w:eastAsia="Aptos" w:hAnsi="Aptos"/>
                <w:sz w:val="19"/>
                <w:szCs w:val="19"/>
              </w:rPr>
              <w:t xml:space="preserve">• Cancellation: Orders may not be cancelled after production has commenced. Cancellation before production commencement is subject to written agreement and recovery of costs incurred. The 40% advance is non-refundable once production has commenced.</w:t>
            </w:r>
          </w:p>
          <w:p>
            <w:pPr>
              <w:spacing w:after="80"/>
            </w:pPr>
            <w:r>
              <w:rPr>
                <w:rFonts w:ascii="Aptos" w:cs="Aptos" w:eastAsia="Aptos" w:hAnsi="Aptos"/>
                <w:sz w:val="19"/>
                <w:szCs w:val="19"/>
              </w:rPr>
              <w:t>• PAYMENT TERMS FINALITY: The payment terms stated in this document are fixed and binding upon acceptance of this document or receipt of any advance payment, whichever occurs first. Neither party shall unilaterally modify, replace, or impose any additional or different payment terms after such acceptance or receipt of advance payment. Any amendment, modification, waiver, or variation of the payment terms shall be valid only if expressly agreed in writing by authorised representatives of both parties. The agreed payment terms may not be amended or waived by any verbal statement, informal communication, partial payment, purchase-order notation, or course of conduct, whether any of these occur individually or in combination. Any such amendment shall be documented in a formal written Payment Terms Amendment Agreement signed by authorised representatives of both parties before the amendment takes effect.</w:t>
            </w:r>
          </w:p>
          <w:p>
            <w:pPr>
              <w:spacing w:after="80"/>
            </w:pPr>
            <w:r>
              <w:rPr>
                <w:rFonts w:ascii="Aptos" w:cs="Aptos" w:eastAsia="Aptos" w:hAnsi="Aptos"/>
                <w:sz w:val="19"/>
                <w:szCs w:val="19"/>
              </w:rPr>
              <w:t xml:space="preserve">• DISPUTE RESOLUTION &amp; PUBLIC COMMUNICATIONS: Any dispute, disagreement, complaint, or claim arising out of or in connection with this transaction shall first be notified to the other party in writing by email to the contact email address stated in this document. Written notice shall be deemed delivered upon confirmation of receipt by the receiving party, or within 48 hours of sending to the email address stated in this document, whichever is earlier. It is the responsibility of each party to ensure their stated contact email address is active and monitored. The receiving party shall respond within ten (10) working days of deemed delivery and both parties shall make reasonable and good-faith efforts to resolve the matter amicably. Until the dispute is resolved, neither party shall publish or communicate any knowingly false, misleading, defamatory, threatening, or materially disparaging statement concerning the other party, the transaction, or the dispute on social media, review platforms, trade forums, industry groups, websites, or any other public or semi-public channel. Nothing in this clause shall restrict either party from making disclosures strictly required by law or from communicating with courts, arbitral tribunals, governmental authorities, regulators, customs authorities, insurers, banks, legal advisers, auditors, or other professional advisers, or from exercising any legal or contractual right or remedy. A party shall be responsible, to the extent permitted by applicable law, for public communications made by its employees, agents, representatives, or other persons acting on its behalf or with its authority. Any breach of this clause shall entitle the non-breaching party to seek removal or correction of the offending content and any other contractual or legal remedies available under applicable law. This clause shall survive completion or termination of the transaction. The restriction on false, misleading, defamatory, threatening, or materially disparaging communications shall continue indefinitely after resolution of any dispute and shall not expire.</w:t>
            </w:r>
          </w:p>
          <w:p>
            <w:pPr>
              <w:spacing w:after="80"/>
            </w:pPr>
            <w:r>
              <w:rPr>
                <w:rFonts w:ascii="Aptos" w:cs="Aptos" w:eastAsia="Aptos" w:hAnsi="Aptos"/>
                <w:sz w:val="19"/>
                <w:szCs w:val="19"/>
              </w:rPr>
              <w:t xml:space="preserve">• ACCEPTANCE &amp; ORDER OF PRECEDENCE: This document, together with the commercial terms and conditions stated herein, constitutes the commercial basis of the transaction. Acceptance of this document, issuance of any purchase order in connection with this transaction, written confirmation of the order, or payment of any advance amount — whether in full or in part — shall each independently constitute acceptance of all terms and conditions stated in this document. Any term or condition contained in a buyer's purchase order or other document that conflicts with or varies from the terms stated herein shall not apply unless expressly accepted in writing by authorised representatives of NexaCrest International Private Limited.</w:t>
            </w:r>
          </w:p>
          <w:p>
            <w:pPr>
              <w:spacing w:after="80"/>
            </w:pPr>
            <w:r>
              <w:rPr>
                <w:rFonts w:ascii="Aptos" w:cs="Aptos" w:eastAsia="Aptos" w:hAnsi="Aptos"/>
                <w:sz w:val="19"/>
                <w:szCs w:val="19"/>
              </w:rPr>
              <w:t xml:space="preserve">• Partial Shipment: Not permitted. NexaCrest ships complete orders only — minimum one full FCL. Mixed-product containers (multiple products in one FCL) are permitted.</w:t>
            </w:r>
          </w:p>
          <w:p>
            <w:pPr>
              <w:spacing w:after="0"/>
            </w:pPr>
            <w:r>
              <w:rPr>
                <w:rFonts w:ascii="Aptos" w:cs="Aptos" w:eastAsia="Aptos" w:hAnsi="Aptos"/>
                <w:sz w:val="19"/>
                <w:szCs w:val="19"/>
              </w:rPr>
              <w:t xml:space="preserve">• Shipment Booking (CFR/CIF): Shipment booking will be confirmed only after full freight and insurance payment is received and cleared in NexaCrest's bank account against the Freight Debit Note. NexaCrest cannot book the container or hand over cargo to the shipping line until freight payment is verified.</w:t>
            </w:r>
          </w:p>
        </w:tc>
      </w:tr>
    </w:tbl>
    <w:p>
      <w:pPr>
        <w:spacing w:after="3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1"/>
        <w:gridCol w:w="4627"/>
      </w:tblGrid>
      <w:tr>
        <w:tc>
          <w:tcPr>
            <w:tcW w:type="dxa" w:w="5011"/>
            <w:tcBorders>
              <w:top w:val="none" w:color="FFFFFF" w:sz="0"/>
              <w:left w:val="none" w:color="FFFFFF" w:sz="0"/>
              <w:bottom w:val="none" w:color="FFFFFF" w:sz="0"/>
              <w:right w:val="none" w:color="FFFFFF" w:sz="0"/>
            </w:tcBorders>
          </w:tcPr>
          <w:p>
            <w:pPr>
              <w:spacing w:after="20"/>
            </w:pPr>
            <w:r>
              <w:rPr>
                <w:rFonts w:ascii="Aptos" w:cs="Aptos" w:eastAsia="Aptos" w:hAnsi="Aptos"/>
                <w:b/>
                <w:bCs/>
                <w:color w:val="17233A"/>
                <w:sz w:val="20"/>
                <w:szCs w:val="20"/>
              </w:rPr>
              <w:t xml:space="preserve">For</w:t>
            </w:r>
          </w:p>
          <w:p>
            <w:pPr>
              <w:spacing w:after="120"/>
            </w:pPr>
            <w:r>
              <w:rPr>
                <w:rFonts w:ascii="Aptos" w:cs="Aptos" w:eastAsia="Aptos" w:hAnsi="Aptos"/>
                <w:b/>
                <w:bCs/>
                <w:color w:val="17233A"/>
                <w:sz w:val="20"/>
                <w:szCs w:val="20"/>
              </w:rPr>
              <w:t xml:space="preserve">NexaCrest International Private Limited</w:t>
            </w:r>
          </w:p>
          <w:p>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19250" cy="1619250"/>
                          </a:xfrm>
                          <a:prstGeom prst="rect">
                            <a:avLst/>
                          </a:prstGeom>
                        </pic:spPr>
                      </pic:pic>
                    </a:graphicData>
                  </a:graphic>
                </wp:inline>
              </w:drawing>
            </w:r>
          </w:p>
        </w:tc>
        <w:tc>
          <w:tcPr>
            <w:tcW w:type="dxa" w:w="4627"/>
            <w:tcBorders>
              <w:top w:val="none" w:color="FFFFFF" w:sz="0"/>
              <w:left w:val="none" w:color="FFFFFF" w:sz="0"/>
              <w:bottom w:val="none" w:color="FFFFFF" w:sz="0"/>
              <w:right w:val="none" w:color="FFFFFF" w:sz="0"/>
            </w:tcBorders>
          </w:tcPr>
          <w:p>
            <w:pPr>
              <w:spacing w:after="60"/>
            </w:pPr>
            <w:r>
              <w:rPr>
                <w:rFonts w:ascii="Aptos" w:cs="Aptos" w:eastAsia="Aptos" w:hAnsi="Aptos"/>
                <w:b/>
                <w:bCs/>
                <w:color w:val="5B6573"/>
                <w:sz w:val="20"/>
                <w:szCs w:val="20"/>
              </w:rPr>
              <w:t xml:space="preserve">Authorised Signatory</w:t>
            </w:r>
          </w:p>
          <w:p>
            <w:pPr>
              <w:spacing w:after="80"/>
            </w:pPr>
            <w:r>
              <w:drawing>
                <wp:inline distT="0" distB="0" distL="0" distR="0">
                  <wp:extent cx="19050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228600"/>
                          </a:xfrm>
                          <a:prstGeom prst="rect">
                            <a:avLst/>
                          </a:prstGeom>
                        </pic:spPr>
                      </pic:pic>
                    </a:graphicData>
                  </a:graphic>
                </wp:inline>
              </w:drawing>
            </w:r>
          </w:p>
          <w:p>
            <w:pPr>
              <w:spacing w:after="100"/>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43000" cy="1143000"/>
                          </a:xfrm>
                          <a:prstGeom prst="rect">
                            <a:avLst/>
                          </a:prstGeom>
                        </pic:spPr>
                      </pic:pic>
                    </a:graphicData>
                  </a:graphic>
                </wp:inline>
              </w:drawing>
            </w:r>
          </w:p>
          <w:p>
            <w:pPr>
              <w:pBdr>
                <w:bottom w:val="single" w:sz="4" w:space="4"/>
              </w:pBdr>
              <w:spacing w:after="100"/>
            </w:pPr>
          </w:p>
          <w:p>
            <w:pPr>
              <w:spacing w:after="40"/>
            </w:pPr>
            <w:r>
              <w:rPr>
                <w:rFonts w:ascii="Aptos" w:cs="Aptos" w:eastAsia="Aptos" w:hAnsi="Aptos"/>
                <w:b/>
                <w:bCs/>
                <w:color w:val="17233A"/>
                <w:sz w:val="26"/>
                <w:szCs w:val="26"/>
              </w:rPr>
              <w:t xml:space="preserve">Gulmohar Sontakke</w:t>
            </w:r>
          </w:p>
          <w:p>
            <w:pPr>
              <w:spacing w:after="40"/>
            </w:pPr>
            <w:r>
              <w:rPr>
                <w:rFonts w:ascii="Aptos" w:cs="Aptos" w:eastAsia="Aptos" w:hAnsi="Aptos"/>
                <w:b/>
                <w:bCs/>
                <w:sz w:val="20"/>
                <w:szCs w:val="20"/>
              </w:rPr>
              <w:t xml:space="preserve">Founder &amp; Managing Director</w:t>
            </w:r>
          </w:p>
          <w:p>
            <w:r>
              <w:rPr>
                <w:rFonts w:ascii="Aptos" w:cs="Aptos" w:eastAsia="Aptos" w:hAnsi="Aptos"/>
                <w:color w:val="5B6573"/>
                <w:sz w:val="18"/>
                <w:szCs w:val="18"/>
              </w:rPr>
              <w:t xml:space="preserve">NexaCrest International Private Limited</w:t>
            </w:r>
          </w:p>
        </w:tc>
      </w:tr>
    </w:tbl>
    <w:sectPr>
      <w:pgSz w:w="11906" w:h="16838" w:orient="portrait"/>
      <w:pgMar w:top="720" w:right="850" w:bottom="7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e0a8049ebf87ef45b4bed6e0b3fe6819f6995b7.jpg"/><Relationship Id="rId8" Type="http://schemas.openxmlformats.org/officeDocument/2006/relationships/image" Target="media/169126f1dd7945989cde2303586403d6563d6424.png"/><Relationship Id="rId9" Type="http://schemas.openxmlformats.org/officeDocument/2006/relationships/image" Target="media/a6c9f98c305a70a92153282adf23ac209510f448.png"/><Relationship Id="rId10" Type="http://schemas.openxmlformats.org/officeDocument/2006/relationships/image" Target="media/db9422367a69f1c25aa0f15d56ddf24a347470d7.png"/><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2026-09-17T06:44:27.322Z</dcterms:created>
  <dcterms:modified xsi:type="dcterms:W3CDTF">2026-09-17T06:44:27.322Z</dcterms:modified>
</cp:coreProperties>
</file>

<file path=docProps/custom.xml><?xml version="1.0" encoding="utf-8"?>
<Properties xmlns="http://schemas.openxmlformats.org/officeDocument/2006/custom-properties" xmlns:vt="http://schemas.openxmlformats.org/officeDocument/2006/docPropsVTypes"/>
</file>