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ORDER CONFIRMATION</w:t>
            </w:r>
          </w:p>
          <w:p>
            <w:pPr>
              <w:jc w:val="right"/>
            </w:pPr>
            <w:r>
              <w:rPr>
                <w:rFonts w:ascii="Aptos" w:cs="Aptos" w:eastAsia="Aptos" w:hAnsi="Aptos"/>
                <w:b/>
                <w:bCs/>
                <w:color w:val="5B6573"/>
                <w:sz w:val="20"/>
                <w:szCs w:val="20"/>
              </w:rPr>
              <w:t xml:space="preserve"/>
            </w:r>
          </w:p>
        </w:tc>
      </w:tr>
    </w:tbl>
    <w:p>
      <w:pPr>
        <w:spacing w:after="120" w:before="0"/>
      </w:pPr>
    </w:p>
    <w:p>
      <w:pPr>
        <w:spacing w:after="80" w:before="160"/>
      </w:pPr>
      <w:r>
        <w:rPr>
          <w:rFonts w:ascii="Aptos" w:cs="Aptos" w:eastAsia="Aptos" w:hAnsi="Aptos"/>
          <w:i/>
          <w:iCs/>
          <w:color w:val="5B6573"/>
          <w:sz w:val="18"/>
          <w:szCs w:val="18"/>
        </w:rPr>
        <w:t xml:space="preserve">Fields marked </w:t>
      </w:r>
      <w:r>
        <w:rPr>
          <w:rFonts w:ascii="Aptos" w:cs="Aptos" w:eastAsia="Aptos" w:hAnsi="Aptos"/>
          <w:b/>
          <w:bCs/>
          <w:color w:val="C0392B"/>
          <w:sz w:val="18"/>
          <w:szCs w:val="18"/>
        </w:rPr>
        <w:t xml:space="preserve">*</w:t>
      </w:r>
      <w:r>
        <w:rPr>
          <w:rFonts w:ascii="Aptos" w:cs="Aptos" w:eastAsia="Aptos" w:hAnsi="Aptos"/>
          <w:i/>
          <w:iCs/>
          <w:color w:val="5B6573"/>
          <w:sz w:val="18"/>
          <w:szCs w:val="18"/>
        </w:rPr>
        <w:t xml:space="preserve"> are mandatory and must be completed before this document is issued.</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OC NUMBER *</w:t>
            </w:r>
          </w:p>
          <w:p>
            <w:r>
              <w:rPr>
                <w:rFonts w:ascii="Aptos" w:cs="Aptos" w:eastAsia="Aptos" w:hAnsi="Aptos"/>
                <w:b/>
                <w:bCs/>
                <w:color w:val="17233A"/>
                <w:sz w:val="20"/>
                <w:szCs w:val="20"/>
              </w:rPr>
              <w:t xml:space="preserve">[SC/OC/YYYY/DDMMNNN Rev.00]</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DATE *</w:t>
            </w:r>
          </w:p>
          <w:p>
            <w:r>
              <w:rPr>
                <w:rFonts w:ascii="Aptos" w:cs="Aptos" w:eastAsia="Aptos" w:hAnsi="Aptos"/>
                <w:b/>
                <w:bCs/>
                <w:color w:val="17233A"/>
                <w:sz w:val="20"/>
                <w:szCs w:val="20"/>
              </w:rPr>
              <w:t xml:space="preserve">[DD Month YYYY]</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PI REFERENCE *</w:t>
            </w:r>
          </w:p>
          <w:p>
            <w:r>
              <w:rPr>
                <w:rFonts w:ascii="Aptos" w:cs="Aptos" w:eastAsia="Aptos" w:hAnsi="Aptos"/>
                <w:b/>
                <w:bCs/>
                <w:color w:val="17233A"/>
                <w:sz w:val="20"/>
                <w:szCs w:val="20"/>
              </w:rPr>
              <w:t xml:space="preserve">[SC/PI/YYYY/DDMMNNN]</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BUYER INQUIRY REF *</w:t>
            </w:r>
          </w:p>
          <w:p>
            <w:r>
              <w:rPr>
                <w:rFonts w:ascii="Aptos" w:cs="Aptos" w:eastAsia="Aptos" w:hAnsi="Aptos"/>
                <w:b/>
                <w:bCs/>
                <w:color w:val="17233A"/>
                <w:sz w:val="20"/>
                <w:szCs w:val="20"/>
              </w:rPr>
              <w:t xml:space="preserve">[NC/SC/YYYY/DDMMNNN]</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shd w:fill="EAF3DE" w:val="clear"/>
            <w:tcMar>
              <w:top w:type="dxa" w:w="140"/>
              <w:left w:type="dxa" w:w="200"/>
              <w:bottom w:type="dxa" w:w="140"/>
              <w:right w:type="dxa" w:w="200"/>
            </w:tcMar>
          </w:tcPr>
          <w:p>
            <w:pPr>
              <w:spacing w:after="60"/>
              <w:jc w:val="center"/>
            </w:pPr>
            <w:r>
              <w:rPr>
                <w:rFonts w:ascii="Aptos" w:cs="Aptos" w:eastAsia="Aptos" w:hAnsi="Aptos"/>
                <w:b/>
                <w:bCs/>
                <w:color w:val="27500A"/>
                <w:sz w:val="26"/>
                <w:szCs w:val="26"/>
              </w:rPr>
              <w:t xml:space="preserve">✔  ORDER CONFIRMED</w:t>
            </w:r>
          </w:p>
          <w:p>
            <w:pPr>
              <w:jc w:val="center"/>
            </w:pPr>
            <w:r>
              <w:rPr>
                <w:rFonts w:ascii="Aptos" w:cs="Aptos" w:eastAsia="Aptos" w:hAnsi="Aptos"/>
                <w:i/>
                <w:iCs/>
                <w:color w:val="3B6D11"/>
                <w:sz w:val="19"/>
                <w:szCs w:val="19"/>
              </w:rPr>
              <w:t xml:space="preserve">This order is confirmed upon receipt and clearance of 40% advance T/T payment against the referenced Proforma Invoice.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 SELLER / EXPORTER</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 Legal Entity</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Registered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No. 33, T Ramaiah Garden, 2 Hulimavu Village, Hulimavu,
Bangalore South, Bengaluru, Karnataka – 560076,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Corporate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Evolve Work Studio, 4th Floor, The Hub @ Raj Serenity,
Khatha No. 10, Begur Koppa Road, Yelenahalli,
Bengaluru – 560068, Karnataka,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GSTIN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29AAKCN8733G1ZZ</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IEC / PAN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AAKCN8733G</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Gulmohar Sontakke — Founder &amp; Managing Director</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+91-7676463030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gulmohar.sontakke@nexacrestinternational.com</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2. BUYER / CONSIGNEE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Legal Name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[Exact legal name — must match PI exactly]</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Billing Address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[Full address including postcode — must match PI]</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Consignee Name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[If different from Company Legal Name — write SAME if identical]</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Consignee Address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[If different from Billing Address — must match BL and Packing List]</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[Full name]</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[+country code number]</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[buyer@email.com]</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3. ORDER SUMMARY</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Quotation No.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[SC/QT/YYYY/DDMMNNN — the accepted quotation]</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Quotation Date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[DD Month YYYY]</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Proforma Invoice No.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[SC/PI/YYYY/DDMMNNN — must match PI exactly]</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Product(s)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[As per referenced PI — e.g., Absolute Black Granite Memorial Monument, Mirror Polished — 420 m²]</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Total Order Value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[USD XXXXX.XX — must match PI Total exactly]</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Incoterm</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FOB Chennai, India — Incoterms® 2020</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Loading</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Chennai,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Discharge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[Must match PI — e.g., Tilbury, UK / Marseille, France]</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Certificate of Origin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[GSP Form A (preferential)  /  Non-preferential — as confirmed by buyer]</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4. PAYMENT STATUS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40% Advance (USD)</w:t>
            </w:r>
            <w:r>
              <w:rPr>
                <w:rFonts w:ascii="Aptos" w:cs="Aptos" w:eastAsia="Aptos" w:hAnsi="Aptos"/>
                <w:b/>
                <w:bCs/>
                <w:color w:val="C0392B"/>
                <w:sz w:val="19"/>
                <w:szCs w:val="19"/>
              </w:rPr>
              <w:t xml:space="preserve"> *</w:t>
            </w:r>
          </w:p>
        </w:tc>
        <w:tc>
          <w:tcPr>
            <w:tcW w:type="dxa" w:w="7038"/>
            <w:tcBorders>
              <w:top w:val="single" w:color="D0D8E4" w:sz="2"/>
              <w:left w:val="single" w:color="D0D8E4" w:sz="2"/>
              <w:bottom w:val="single" w:color="D0D8E4" w:sz="2"/>
              <w:right w:val="single" w:color="D0D8E4" w:sz="2"/>
            </w:tcBorders>
            <w:tcMar>
              <w:top w:type="dxa" w:w="90"/>
              <w:left w:type="dxa" w:w="160"/>
              <w:bottom w:type="dxa" w:w="90"/>
              <w:right w:type="dxa" w:w="160"/>
            </w:tcMar>
          </w:tcPr>
          <w:p>
            <w:pPr>
              <w:spacing w:after="0"/>
            </w:pPr>
            <w:r>
              <w:rPr>
                <w:rFonts w:ascii="Aptos" w:cs="Aptos" w:eastAsia="Aptos" w:hAnsi="Aptos"/>
                <w:i/>
                <w:iCs/>
                <w:color w:val="5B6573"/>
                <w:sz w:val="19"/>
                <w:szCs w:val="19"/>
              </w:rPr>
              <w:t xml:space="preserve">[USD XXXXX.XX — amount received]</w:t>
            </w:r>
          </w:p>
        </w:tc>
      </w:tr>
      <w:tr>
        <w:tc>
          <w:tcPr>
            <w:tcW w:type="dxa" w:w="26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Advance T/T Received On</w:t>
            </w:r>
            <w:r>
              <w:rPr>
                <w:rFonts w:ascii="Aptos" w:cs="Aptos" w:eastAsia="Aptos" w:hAnsi="Aptos"/>
                <w:b/>
                <w:bCs/>
                <w:color w:val="C0392B"/>
                <w:sz w:val="19"/>
                <w:szCs w:val="19"/>
              </w:rPr>
              <w:t xml:space="preserve"> *</w:t>
            </w:r>
          </w:p>
        </w:tc>
        <w:tc>
          <w:tcPr>
            <w:tcW w:type="dxa" w:w="7038"/>
            <w:tcBorders>
              <w:top w:val="single" w:color="D0D8E4" w:sz="2"/>
              <w:left w:val="single" w:color="D0D8E4" w:sz="2"/>
              <w:bottom w:val="single" w:color="D0D8E4" w:sz="2"/>
              <w:right w:val="single" w:color="D0D8E4" w:sz="2"/>
            </w:tcBorders>
            <w:tcMar>
              <w:top w:type="dxa" w:w="90"/>
              <w:left w:type="dxa" w:w="160"/>
              <w:bottom w:type="dxa" w:w="90"/>
              <w:right w:type="dxa" w:w="160"/>
            </w:tcMar>
          </w:tcPr>
          <w:p>
            <w:pPr>
              <w:spacing w:after="0"/>
            </w:pPr>
            <w:r>
              <w:rPr>
                <w:rFonts w:ascii="Aptos" w:cs="Aptos" w:eastAsia="Aptos" w:hAnsi="Aptos"/>
                <w:i/>
                <w:iCs/>
                <w:color w:val="5B6573"/>
                <w:sz w:val="19"/>
                <w:szCs w:val="19"/>
              </w:rPr>
              <w:t xml:space="preserve">[DD Month YYYY — date advance T/T cleared in NexaCrest account]</w:t>
            </w:r>
          </w:p>
        </w:tc>
      </w:tr>
      <w:tr>
        <w:tc>
          <w:tcPr>
            <w:tcW w:type="dxa" w:w="26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Balance Due (USD)</w:t>
            </w:r>
            <w:r>
              <w:rPr>
                <w:rFonts w:ascii="Aptos" w:cs="Aptos" w:eastAsia="Aptos" w:hAnsi="Aptos"/>
                <w:b/>
                <w:bCs/>
                <w:color w:val="C0392B"/>
                <w:sz w:val="19"/>
                <w:szCs w:val="19"/>
              </w:rPr>
              <w:t xml:space="preserve"> *</w:t>
            </w:r>
          </w:p>
        </w:tc>
        <w:tc>
          <w:tcPr>
            <w:tcW w:type="dxa" w:w="7038"/>
            <w:tcBorders>
              <w:top w:val="single" w:color="D0D8E4" w:sz="2"/>
              <w:left w:val="single" w:color="D0D8E4" w:sz="2"/>
              <w:bottom w:val="single" w:color="D0D8E4" w:sz="2"/>
              <w:right w:val="single" w:color="D0D8E4" w:sz="2"/>
            </w:tcBorders>
            <w:tcMar>
              <w:top w:type="dxa" w:w="90"/>
              <w:left w:type="dxa" w:w="160"/>
              <w:bottom w:type="dxa" w:w="90"/>
              <w:right w:type="dxa" w:w="160"/>
            </w:tcMar>
          </w:tcPr>
          <w:p>
            <w:r>
              <w:rPr>
                <w:rFonts w:ascii="Aptos" w:cs="Aptos" w:eastAsia="Aptos" w:hAnsi="Aptos"/>
                <w:i/>
                <w:iCs/>
                <w:color w:val="5B6573"/>
                <w:sz w:val="19"/>
                <w:szCs w:val="19"/>
              </w:rPr>
              <w:t xml:space="preserve">[USD XXXXX.XX  =  Total Order Value minus 40% advance received]</w:t>
            </w:r>
            <w:r>
              <w:rPr>
                <w:rFonts w:ascii="Aptos" w:cs="Aptos" w:eastAsia="Aptos" w:hAnsi="Aptos"/>
                <w:i/>
                <w:iCs/>
                <w:color w:val="5B6573"/>
                <w:sz w:val="18"/>
                <w:szCs w:val="18"/>
              </w:rPr>
              <w:t xml:space="preserve">  — payable by T/T against scanned copy of Bill of Lading, within 7 days of BL date</w:t>
            </w:r>
          </w:p>
        </w:tc>
      </w:tr>
      <w:tr>
        <w:tc>
          <w:tcPr>
            <w:tcW w:type="dxa" w:w="26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Currency</w:t>
            </w:r>
          </w:p>
        </w:tc>
        <w:tc>
          <w:tcPr>
            <w:tcW w:type="dxa" w:w="7038"/>
            <w:tcBorders>
              <w:top w:val="single" w:color="D0D8E4" w:sz="2"/>
              <w:left w:val="single" w:color="D0D8E4" w:sz="2"/>
              <w:bottom w:val="single" w:color="D0D8E4" w:sz="2"/>
              <w:right w:val="single" w:color="D0D8E4" w:sz="2"/>
            </w:tcBorders>
            <w:tcMar>
              <w:top w:type="dxa" w:w="90"/>
              <w:left w:type="dxa" w:w="160"/>
              <w:bottom w:type="dxa" w:w="90"/>
              <w:right w:type="dxa" w:w="160"/>
            </w:tcMar>
          </w:tcPr>
          <w:p>
            <w:pPr>
              <w:spacing w:after="0"/>
            </w:pPr>
            <w:r>
              <w:rPr>
                <w:rFonts w:ascii="Aptos" w:cs="Aptos" w:eastAsia="Aptos" w:hAnsi="Aptos"/>
                <w:b/>
                <w:bCs/>
                <w:sz w:val="19"/>
                <w:szCs w:val="19"/>
              </w:rPr>
              <w:t xml:space="preserve">USD (always)</w:t>
            </w:r>
          </w:p>
        </w:tc>
      </w:tr>
      <w:tr>
        <w:tc>
          <w:tcPr>
            <w:tcW w:type="dxa" w:w="2600"/>
            <w:tcBorders>
              <w:top w:val="single" w:color="D0D8E4" w:sz="2"/>
              <w:left w:val="single" w:color="D0D8E4" w:sz="2"/>
              <w:bottom w:val="single" w:color="D0D8E4" w:sz="2"/>
              <w:right w:val="single" w:color="D0D8E4" w:sz="2"/>
            </w:tcBorders>
            <w:shd w:fill="FBEAEA" w:val="clear"/>
            <w:tcMar>
              <w:top w:type="dxa" w:w="90"/>
              <w:left w:type="dxa" w:w="160"/>
              <w:bottom w:type="dxa" w:w="90"/>
              <w:right w:type="dxa" w:w="160"/>
            </w:tcMar>
          </w:tcPr>
          <w:p>
            <w:r>
              <w:rPr>
                <w:rFonts w:ascii="Aptos" w:cs="Aptos" w:eastAsia="Aptos" w:hAnsi="Aptos"/>
                <w:b/>
                <w:bCs/>
                <w:color w:val="8A1F1F"/>
                <w:sz w:val="19"/>
                <w:szCs w:val="19"/>
              </w:rPr>
              <w:t xml:space="preserve">CFR / CIF Freight</w:t>
            </w:r>
            <w:r>
              <w:rPr>
                <w:rFonts w:ascii="Aptos" w:cs="Aptos" w:eastAsia="Aptos" w:hAnsi="Aptos"/>
                <w:i/>
                <w:iCs/>
                <w:color w:val="8A1F1F"/>
                <w:sz w:val="18"/>
                <w:szCs w:val="18"/>
              </w:rPr>
              <w:t xml:space="preserve"> (if applicable)</w:t>
            </w:r>
          </w:p>
        </w:tc>
        <w:tc>
          <w:tcPr>
            <w:tcW w:type="dxa" w:w="7038"/>
            <w:tcBorders>
              <w:top w:val="single" w:color="D0D8E4" w:sz="2"/>
              <w:left w:val="single" w:color="D0D8E4" w:sz="2"/>
              <w:bottom w:val="single" w:color="D0D8E4" w:sz="2"/>
              <w:right w:val="single" w:color="D0D8E4" w:sz="2"/>
            </w:tcBorders>
            <w:shd w:fill="FBEAEA" w:val="clear"/>
            <w:tcMar>
              <w:top w:type="dxa" w:w="90"/>
              <w:left w:type="dxa" w:w="160"/>
              <w:bottom w:type="dxa" w:w="90"/>
              <w:right w:type="dxa" w:w="160"/>
            </w:tcMar>
          </w:tcPr>
          <w:p>
            <w:r>
              <w:rPr>
                <w:rFonts w:ascii="Aptos" w:cs="Aptos" w:eastAsia="Aptos" w:hAnsi="Aptos"/>
                <w:color w:val="5A1414"/>
                <w:sz w:val="18"/>
                <w:szCs w:val="18"/>
              </w:rPr>
              <w:t xml:space="preserve">A Freight Debit Note will be raised when cargo is packed and ready, stating the actual confirmed freight amount. </w:t>
            </w:r>
            <w:r>
              <w:rPr>
                <w:rFonts w:ascii="Aptos" w:cs="Aptos" w:eastAsia="Aptos" w:hAnsi="Aptos"/>
                <w:b/>
                <w:bCs/>
                <w:color w:val="8A1F1F"/>
                <w:sz w:val="18"/>
                <w:szCs w:val="18"/>
              </w:rPr>
              <w:t xml:space="preserve">Payment required within 3 working days of the Debit Note date. </w:t>
            </w:r>
            <w:r>
              <w:rPr>
                <w:rFonts w:ascii="Aptos" w:cs="Aptos" w:eastAsia="Aptos" w:hAnsi="Aptos"/>
                <w:b/>
                <w:bCs/>
                <w:color w:val="8A1F1F"/>
                <w:sz w:val="18"/>
                <w:szCs w:val="18"/>
              </w:rPr>
              <w:t xml:space="preserve">NexaCrest will confirm shipment booking and hand over cargo to the shipping line only upon receipt of full freight payment.</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5. PRODUCTION &amp; ESTIMATED SHIPMENT</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shd w:fill="F1F5F9" w:val="clear"/>
            <w:tcMar>
              <w:top w:type="dxa" w:w="140"/>
              <w:left w:type="dxa" w:w="200"/>
              <w:bottom w:type="dxa" w:w="140"/>
              <w:right w:type="dxa" w:w="200"/>
            </w:tcMar>
          </w:tcPr>
          <w:p>
            <w:pPr>
              <w:spacing w:after="100"/>
            </w:pPr>
            <w:r>
              <w:rPr>
                <w:rFonts w:ascii="Aptos" w:cs="Aptos" w:eastAsia="Aptos" w:hAnsi="Aptos"/>
                <w:b/>
                <w:bCs/>
                <w:color w:val="17233A"/>
                <w:sz w:val="19"/>
                <w:szCs w:val="19"/>
              </w:rPr>
              <w:t xml:space="preserve">Production status: </w:t>
            </w:r>
            <w:r>
              <w:rPr>
                <w:rFonts w:ascii="Aptos" w:cs="Aptos" w:eastAsia="Aptos" w:hAnsi="Aptos"/>
                <w:sz w:val="19"/>
                <w:szCs w:val="19"/>
              </w:rPr>
              <w:t xml:space="preserve">Commenced — advance payment received and confirmed.</w:t>
            </w:r>
          </w:p>
          <w:p>
            <w:pPr>
              <w:spacing w:after="100"/>
            </w:pPr>
            <w:r>
              <w:rPr>
                <w:rFonts w:ascii="Aptos" w:cs="Aptos" w:eastAsia="Aptos" w:hAnsi="Aptos"/>
                <w:b/>
                <w:bCs/>
                <w:color w:val="17233A"/>
                <w:sz w:val="19"/>
                <w:szCs w:val="19"/>
              </w:rPr>
              <w:t xml:space="preserve">Estimated shipment: </w:t>
            </w:r>
            <w:r>
              <w:rPr>
                <w:rFonts w:ascii="Aptos" w:cs="Aptos" w:eastAsia="Aptos" w:hAnsi="Aptos"/>
                <w:i/>
                <w:iCs/>
                <w:color w:val="5B6573"/>
                <w:sz w:val="19"/>
                <w:szCs w:val="19"/>
              </w:rPr>
              <w:t xml:space="preserve">[e.g., within 4–6 weeks from </w:t>
            </w:r>
            <w:r>
              <w:rPr>
                <w:rFonts w:ascii="Aptos" w:cs="Aptos" w:eastAsia="Aptos" w:hAnsi="Aptos"/>
                <w:i/>
                <w:iCs/>
                <w:color w:val="5B6573"/>
                <w:sz w:val="19"/>
                <w:szCs w:val="19"/>
              </w:rPr>
              <w:t xml:space="preserve">[advance payment clearance date]</w:t>
            </w:r>
            <w:r>
              <w:rPr>
                <w:rFonts w:ascii="Aptos" w:cs="Aptos" w:eastAsia="Aptos" w:hAnsi="Aptos"/>
                <w:i/>
                <w:iCs/>
                <w:color w:val="5B6573"/>
                <w:sz w:val="19"/>
                <w:szCs w:val="19"/>
              </w:rPr>
              <w:t xml:space="preserve">]</w:t>
            </w:r>
            <w:r>
              <w:rPr>
                <w:rFonts w:ascii="Aptos" w:cs="Aptos" w:eastAsia="Aptos" w:hAnsi="Aptos"/>
                <w:b/>
                <w:bCs/>
                <w:color w:val="C0392B"/>
                <w:sz w:val="19"/>
                <w:szCs w:val="19"/>
              </w:rPr>
              <w:t xml:space="preserve">  *</w:t>
            </w:r>
          </w:p>
          <w:p>
            <w:pPr>
              <w:spacing w:after="0"/>
            </w:pPr>
            <w:r>
              <w:rPr>
                <w:rFonts w:ascii="Aptos" w:cs="Aptos" w:eastAsia="Aptos" w:hAnsi="Aptos"/>
                <w:b/>
                <w:bCs/>
                <w:color w:val="17233A"/>
                <w:sz w:val="18"/>
                <w:szCs w:val="18"/>
              </w:rPr>
              <w:t xml:space="preserve">Note: </w:t>
            </w:r>
            <w:r>
              <w:rPr>
                <w:rFonts w:ascii="Aptos" w:cs="Aptos" w:eastAsia="Aptos" w:hAnsi="Aptos"/>
                <w:i/>
                <w:iCs/>
                <w:color w:val="5B6573"/>
                <w:sz w:val="18"/>
                <w:szCs w:val="18"/>
              </w:rPr>
              <w:t xml:space="preserve">Estimated shipment date is indicative and subject to production completion, packing, and port scheduling. A confirmed Bill of Lading date will be communicated once the shipment is booked.</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6. DOCUMENTS TO BE PROVIDED</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b/>
                <w:bCs/>
                <w:sz w:val="19"/>
                <w:szCs w:val="19"/>
              </w:rPr>
              <w:t xml:space="preserve">Upon shipment, the following documents will be provided:  </w:t>
            </w:r>
          </w:p>
          <w:p>
            <w:pPr>
              <w:spacing w:after="60"/>
            </w:pPr>
            <w:r>
              <w:rPr>
                <w:rFonts w:ascii="Aptos" w:cs="Aptos" w:eastAsia="Aptos" w:hAnsi="Aptos"/>
                <w:sz w:val="19"/>
                <w:szCs w:val="19"/>
              </w:rPr>
              <w:t xml:space="preserve">• Commercial Invoice</w:t>
            </w:r>
          </w:p>
          <w:p>
            <w:pPr>
              <w:spacing w:after="60"/>
            </w:pPr>
            <w:r>
              <w:rPr>
                <w:rFonts w:ascii="Aptos" w:cs="Aptos" w:eastAsia="Aptos" w:hAnsi="Aptos"/>
                <w:sz w:val="19"/>
                <w:szCs w:val="19"/>
              </w:rPr>
              <w:t xml:space="preserve">• Packing List</w:t>
            </w:r>
          </w:p>
          <w:p>
            <w:pPr>
              <w:spacing w:after="60"/>
            </w:pPr>
            <w:r>
              <w:rPr>
                <w:rFonts w:ascii="Aptos" w:cs="Aptos" w:eastAsia="Aptos" w:hAnsi="Aptos"/>
                <w:sz w:val="19"/>
                <w:szCs w:val="19"/>
              </w:rPr>
              <w:t xml:space="preserve">• Certificate of Origin (CAPEXIL / Chamber of Commerce)</w:t>
            </w:r>
          </w:p>
          <w:p>
            <w:pPr>
              <w:spacing w:after="60"/>
            </w:pPr>
            <w:r>
              <w:rPr>
                <w:rFonts w:ascii="Aptos" w:cs="Aptos" w:eastAsia="Aptos" w:hAnsi="Aptos"/>
                <w:sz w:val="19"/>
                <w:szCs w:val="19"/>
              </w:rPr>
              <w:t xml:space="preserve">• Bill of Lading</w:t>
            </w:r>
          </w:p>
          <w:p>
            <w:r>
              <w:rPr>
                <w:rFonts w:ascii="Aptos" w:cs="Aptos" w:eastAsia="Aptos" w:hAnsi="Aptos"/>
                <w:sz w:val="19"/>
                <w:szCs w:val="19"/>
              </w:rPr>
              <w:t xml:space="preserve">• Fumigation Certificate — provided as standard with every shipment</w:t>
            </w:r>
          </w:p>
        </w:tc>
      </w:tr>
    </w:tbl>
    <w:p>
      <w:pPr>
        <w:spacing w:after="3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7. ORDER CONDITIONS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00"/>
              <w:left w:type="dxa" w:w="180"/>
              <w:bottom w:type="dxa" w:w="100"/>
              <w:right w:type="dxa" w:w="180"/>
            </w:tcMar>
          </w:tcPr>
          <w:p>
            <w:pPr>
              <w:spacing w:after="80"/>
            </w:pPr>
            <w:r>
              <w:rPr>
                <w:rFonts w:ascii="Aptos" w:cs="Aptos" w:eastAsia="Aptos" w:hAnsi="Aptos"/>
                <w:sz w:val="18"/>
                <w:szCs w:val="18"/>
              </w:rPr>
              <w:t xml:space="preserve">• This Order Confirmation is subject to the commercial terms of the referenced Proforma Invoice.</w:t>
            </w:r>
          </w:p>
          <w:p>
            <w:pPr>
              <w:spacing w:after="80"/>
            </w:pPr>
            <w:r>
              <w:rPr>
                <w:rFonts w:ascii="Aptos" w:cs="Aptos" w:eastAsia="Aptos" w:hAnsi="Aptos"/>
                <w:b/>
                <w:bCs/>
                <w:sz w:val="18"/>
                <w:szCs w:val="18"/>
              </w:rPr>
              <w:t xml:space="preserve">• Natural Stone Characteristics: </w:t>
            </w:r>
            <w:r>
              <w:rPr>
                <w:rFonts w:ascii="Aptos" w:cs="Aptos" w:eastAsia="Aptos" w:hAnsi="Aptos"/>
                <w:sz w:val="18"/>
                <w:szCs w:val="18"/>
              </w:rPr>
              <w:t xml:space="preserve">All granite supplied is Grade A quality, selected for colour consistency. As with all natural stone, minor variation in shade, grain and veining may occur between pieces — however, visible dramatic colour difference between components of the same order will not occur. Products will conform to the agreed specification.</w:t>
            </w:r>
          </w:p>
          <w:p>
            <w:pPr>
              <w:spacing w:after="80"/>
            </w:pPr>
            <w:r>
              <w:rPr>
                <w:rFonts w:ascii="Aptos" w:cs="Aptos" w:eastAsia="Aptos" w:hAnsi="Aptos"/>
                <w:b/>
                <w:bCs/>
                <w:sz w:val="18"/>
                <w:szCs w:val="18"/>
              </w:rPr>
              <w:t xml:space="preserve">• Quantity Tolerance: </w:t>
            </w:r>
            <w:r>
              <w:rPr>
                <w:rFonts w:ascii="Aptos" w:cs="Aptos" w:eastAsia="Aptos" w:hAnsi="Aptos"/>
                <w:sz w:val="18"/>
                <w:szCs w:val="18"/>
              </w:rPr>
              <w:t xml:space="preserve">Actual quantity shipped will not exceed the ordered quantity. A shortfall of up to 5% may occur and will be invoiced at actual quantity shipped. A shortfall exceeding 5% requires buyer’s written approval before shipment.</w:t>
            </w:r>
          </w:p>
          <w:p>
            <w:pPr>
              <w:spacing w:after="80"/>
            </w:pPr>
            <w:r>
              <w:rPr>
                <w:rFonts w:ascii="Aptos" w:cs="Aptos" w:eastAsia="Aptos" w:hAnsi="Aptos"/>
                <w:b/>
                <w:bCs/>
                <w:sz w:val="18"/>
                <w:szCs w:val="18"/>
              </w:rPr>
              <w:t xml:space="preserve">• Cancellation: </w:t>
            </w:r>
            <w:r>
              <w:rPr>
                <w:rFonts w:ascii="Aptos" w:cs="Aptos" w:eastAsia="Aptos" w:hAnsi="Aptos"/>
                <w:sz w:val="18"/>
                <w:szCs w:val="18"/>
              </w:rPr>
              <w:t xml:space="preserve">Orders may not be cancelled after production has commenced. The 40% advance is non-refundable once production has commenced.</w:t>
            </w:r>
          </w:p>
          <w:p>
            <w:pPr>
              <w:spacing w:after="80"/>
            </w:pPr>
            <w:r>
              <w:rPr>
                <w:rFonts w:ascii="Aptos" w:cs="Aptos" w:eastAsia="Aptos" w:hAnsi="Aptos"/>
                <w:b/>
                <w:bCs/>
                <w:sz w:val="18"/>
                <w:szCs w:val="18"/>
              </w:rPr>
              <w:t xml:space="preserve">• PAYMENT TERMS FINALITY: </w:t>
            </w:r>
            <w:r>
              <w:rPr>
                <w:rFonts w:ascii="Aptos" w:cs="Aptos" w:eastAsia="Aptos" w:hAnsi="Aptos"/>
                <w:sz w:val="18"/>
                <w:szCs w:val="18"/>
              </w:rPr>
              <w:t>PAYMENT TERMS FINALITY: The payment terms stated in this document are fixed and binding upon acceptance of this document or receipt of any advance payment, whichever occurs first. Neither party shall unilaterally modify, replace, or impose any additional or different payment terms after such acceptance or receipt of advance payment. Any amendment, modification, waiver, or variation of the payment terms shall be valid only if expressly agreed in writing by authorised representatives of both parties. The agreed payment terms may not be amended or waived by any verbal statement, informal communication, partial payment, purchase-order notation, or course of conduct, whether any of these occur individually or in combination. Any such amendment shall be documented in a formal written Payment Terms Amendment Agreement signed by authorised representatives of both parties before the amendment takes effect.</w:t>
            </w:r>
          </w:p>
          <w:p>
            <w:pPr>
              <w:spacing w:after="80"/>
            </w:pPr>
            <w:r>
              <w:rPr>
                <w:rFonts w:ascii="Aptos" w:cs="Aptos" w:eastAsia="Aptos" w:hAnsi="Aptos"/>
                <w:b/>
                <w:bCs/>
                <w:sz w:val="18"/>
                <w:szCs w:val="18"/>
              </w:rPr>
              <w:t xml:space="preserve">• DISPUTE RESOLUTION &amp; PUBLIC COMMUNICATIONS: </w:t>
            </w:r>
            <w:r>
              <w:rPr>
                <w:rFonts w:ascii="Aptos" w:cs="Aptos" w:eastAsia="Aptos" w:hAnsi="Aptos"/>
                <w:sz w:val="18"/>
                <w:szCs w:val="18"/>
              </w:rPr>
              <w:t xml:space="preserve">DISPUTE RESOLUTION &amp; PUBLIC COMMUNICATIONS: Any dispute, disagreement, complaint, or claim arising out of or in connection with this transaction shall first be notified to the other party in writing by email to the contact email address stated in this document. Written notice shall be deemed delivered upon confirmation of receipt by the receiving party, or within 48 hours of sending to the email address stated in this document, whichever is earlier. It is the responsibility of each party to ensure their stated contact email address is active and monitored. The receiving party shall respond within ten (10) working days of deemed delivery and both parties shall make reasonable and good-faith efforts to resolve the matter amicably. Until the dispute is resolved, neither party shall publish or communicate any knowingly false, misleading, defamatory, threatening, or materially disparaging statement concerning the other party, the transaction, or the dispute on social media, review platforms, trade forums, industry groups, websites, or any other public or semi-public channel. Nothing in this clause shall restrict either party from making disclosures strictly required by law or from communicating with courts, arbitral tribunals, governmental authorities, regulators, customs authorities, insurers, banks, legal advisers, auditors, or other professional advisers, or from exercising any legal or contractual right or remedy. A party shall be responsible, to the extent permitted by applicable law, for public communications made by its employees, agents, representatives, or other persons acting on its behalf or with its authority. Any breach of this clause shall entitle the non-breaching party to seek removal or correction of the offending content and any other contractual or legal remedies available under applicable law. This clause shall survive completion or termination of the transaction. The restriction on false, misleading, defamatory, threatening, or materially disparaging communications shall continue indefinitely after resolution of any dispute and shall not expire.</w:t>
            </w:r>
          </w:p>
          <w:p>
            <w:pPr>
              <w:spacing w:after="80"/>
            </w:pPr>
            <w:r>
              <w:rPr>
                <w:rFonts w:ascii="Aptos" w:cs="Aptos" w:eastAsia="Aptos" w:hAnsi="Aptos"/>
                <w:b/>
                <w:bCs/>
                <w:sz w:val="18"/>
                <w:szCs w:val="18"/>
              </w:rPr>
              <w:t xml:space="preserve">• ACCEPTANCE &amp; ORDER OF PRECEDENCE: </w:t>
            </w:r>
            <w:r>
              <w:rPr>
                <w:rFonts w:ascii="Aptos" w:cs="Aptos" w:eastAsia="Aptos" w:hAnsi="Aptos"/>
                <w:sz w:val="18"/>
                <w:szCs w:val="18"/>
              </w:rPr>
              <w:t xml:space="preserve">ACCEPTANCE &amp; ORDER OF PRECEDENCE: This document, together with the commercial terms and conditions stated herein, constitutes the commercial basis of the transaction. Acceptance of this document, issuance of any purchase order in connection with this transaction, written confirmation of the order, or payment of any advance amount — whether in full or in part — shall each independently constitute acceptance of all terms and conditions stated in this document. Any term or condition contained in a buyer's purchase order or other document that conflicts with or varies from the terms stated herein shall not apply unless expressly accepted in writing by authorised representatives of NexaCrest International Private Limited.</w:t>
            </w:r>
          </w:p>
          <w:p>
            <w:pPr>
              <w:spacing w:after="80"/>
            </w:pPr>
            <w:r>
              <w:rPr>
                <w:rFonts w:ascii="Aptos" w:cs="Aptos" w:eastAsia="Aptos" w:hAnsi="Aptos"/>
                <w:b/>
                <w:bCs/>
                <w:sz w:val="18"/>
                <w:szCs w:val="18"/>
              </w:rPr>
              <w:t xml:space="preserve">• Partial Shipment: </w:t>
            </w:r>
            <w:r>
              <w:rPr>
                <w:rFonts w:ascii="Aptos" w:cs="Aptos" w:eastAsia="Aptos" w:hAnsi="Aptos"/>
                <w:sz w:val="18"/>
                <w:szCs w:val="18"/>
              </w:rPr>
              <w:t xml:space="preserve">Not permitted. NexaCrest ships complete orders only — minimum one full FCL. Mixed-product containers are permitted.</w:t>
            </w:r>
          </w:p>
          <w:p>
            <w:r>
              <w:rPr>
                <w:rFonts w:ascii="Aptos" w:cs="Aptos" w:eastAsia="Aptos" w:hAnsi="Aptos"/>
                <w:b/>
                <w:bCs/>
                <w:sz w:val="18"/>
                <w:szCs w:val="18"/>
              </w:rPr>
              <w:t xml:space="preserve">• Bill of Lading: </w:t>
            </w:r>
            <w:r>
              <w:rPr>
                <w:rFonts w:ascii="Aptos" w:cs="Aptos" w:eastAsia="Aptos" w:hAnsi="Aptos"/>
                <w:sz w:val="18"/>
                <w:szCs w:val="18"/>
              </w:rPr>
              <w:t xml:space="preserve">Original negotiable BL (3 originals) will be released to buyer only after 60% balance payment is CLEARED in NexaCrest’s bank account. Remittance copy alone does not constitute payment receipt. Please allow 1–2 banking days for clearance confirmation before expecting BL originals to be released.</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4627"/>
      </w:tblGrid>
      <w:tr>
        <w:tc>
          <w:tcPr>
            <w:tcW w:type="dxa" w:w="5011"/>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For</w:t>
            </w:r>
          </w:p>
          <w:p>
            <w:pPr>
              <w:spacing w:after="120"/>
            </w:pPr>
            <w:r>
              <w:rPr>
                <w:rFonts w:ascii="Aptos" w:cs="Aptos" w:eastAsia="Aptos" w:hAnsi="Aptos"/>
                <w:b/>
                <w:bCs/>
                <w:color w:val="17233A"/>
                <w:sz w:val="20"/>
                <w:szCs w:val="20"/>
              </w:rPr>
              <w:t xml:space="preserve">NexaCrest International Private Limited</w:t>
            </w:r>
          </w:p>
          <w:p>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619250"/>
                          </a:xfrm>
                          <a:prstGeom prst="rect">
                            <a:avLst/>
                          </a:prstGeom>
                        </pic:spPr>
                      </pic:pic>
                    </a:graphicData>
                  </a:graphic>
                </wp:inline>
              </w:drawing>
            </w:r>
          </w:p>
        </w:tc>
        <w:tc>
          <w:tcPr>
            <w:tcW w:type="dxa" w:w="4627"/>
            <w:tcBorders>
              <w:top w:val="none" w:color="FFFFFF" w:sz="0"/>
              <w:left w:val="none" w:color="FFFFFF" w:sz="0"/>
              <w:bottom w:val="none" w:color="FFFFFF" w:sz="0"/>
              <w:right w:val="none" w:color="FFFFFF" w:sz="0"/>
            </w:tcBorders>
          </w:tcPr>
          <w:p>
            <w:pPr>
              <w:spacing w:after="60"/>
            </w:pPr>
            <w:r>
              <w:rPr>
                <w:rFonts w:ascii="Aptos" w:cs="Aptos" w:eastAsia="Aptos" w:hAnsi="Aptos"/>
                <w:b/>
                <w:bCs/>
                <w:color w:val="5B6573"/>
                <w:sz w:val="20"/>
                <w:szCs w:val="20"/>
              </w:rPr>
              <w:t xml:space="preserve">Authorised Signatory</w:t>
            </w:r>
          </w:p>
          <w:p>
            <w:pPr>
              <w:spacing w:after="80"/>
            </w:pPr>
            <w:r>
              <w:drawing>
                <wp:inline distT="0" distB="0" distL="0" distR="0">
                  <wp:extent cx="1905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228600"/>
                          </a:xfrm>
                          <a:prstGeom prst="rect">
                            <a:avLst/>
                          </a:prstGeom>
                        </pic:spPr>
                      </pic:pic>
                    </a:graphicData>
                  </a:graphic>
                </wp:inline>
              </w:drawing>
            </w:r>
          </w:p>
          <w:p>
            <w:pPr>
              <w:spacing w:after="100"/>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1143000"/>
                          </a:xfrm>
                          <a:prstGeom prst="rect">
                            <a:avLst/>
                          </a:prstGeom>
                        </pic:spPr>
                      </pic:pic>
                    </a:graphicData>
                  </a:graphic>
                </wp:inline>
              </w:drawing>
            </w:r>
          </w:p>
          <w:p>
            <w:pPr>
              <w:pBdr>
                <w:bottom w:val="single" w:sz="4" w:space="4"/>
              </w:pBdr>
              <w:spacing w:after="100"/>
            </w:pPr>
          </w:p>
          <w:p>
            <w:pPr>
              <w:spacing w:after="40"/>
            </w:pPr>
            <w:r>
              <w:rPr>
                <w:rFonts w:ascii="Aptos" w:cs="Aptos" w:eastAsia="Aptos" w:hAnsi="Aptos"/>
                <w:b/>
                <w:bCs/>
                <w:color w:val="17233A"/>
                <w:sz w:val="26"/>
                <w:szCs w:val="26"/>
              </w:rPr>
              <w:t xml:space="preserve">Gulmohar Sontakke</w:t>
            </w:r>
          </w:p>
          <w:p>
            <w:pPr>
              <w:spacing w:after="40"/>
            </w:pPr>
            <w:r>
              <w:rPr>
                <w:rFonts w:ascii="Aptos" w:cs="Aptos" w:eastAsia="Aptos" w:hAnsi="Aptos"/>
                <w:b/>
                <w:bCs/>
                <w:sz w:val="20"/>
                <w:szCs w:val="20"/>
              </w:rPr>
              <w:t xml:space="preserve">Founder &amp; Managing Director</w:t>
            </w:r>
          </w:p>
          <w:p>
            <w:r>
              <w:rPr>
                <w:rFonts w:ascii="Aptos" w:cs="Aptos" w:eastAsia="Aptos" w:hAnsi="Aptos"/>
                <w:color w:val="5B6573"/>
                <w:sz w:val="18"/>
                <w:szCs w:val="18"/>
              </w:rPr>
              <w:t xml:space="preserve">NexaCrest International Private Limited</w:t>
            </w:r>
          </w:p>
        </w:tc>
      </w:tr>
    </w:tbl>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169126f1dd7945989cde2303586403d6563d6424.png"/><Relationship Id="rId9" Type="http://schemas.openxmlformats.org/officeDocument/2006/relationships/image" Target="media/a6c9f98c305a70a92153282adf23ac209510f448.png"/><Relationship Id="rId10" Type="http://schemas.openxmlformats.org/officeDocument/2006/relationships/image" Target="media/db9422367a69f1c25aa0f15d56ddf24a347470d7.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2026-09-17T06:44:29.026Z</dcterms:created>
  <dcterms:modified xsi:type="dcterms:W3CDTF">2026-09-17T06:44:29.026Z</dcterms:modified>
</cp:coreProperties>
</file>

<file path=docProps/custom.xml><?xml version="1.0" encoding="utf-8"?>
<Properties xmlns="http://schemas.openxmlformats.org/officeDocument/2006/custom-properties" xmlns:vt="http://schemas.openxmlformats.org/officeDocument/2006/docPropsVTypes"/>
</file>