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BILL OF LADING INSTRUCTION SHEET</w:t>
            </w:r>
          </w:p>
          <w:p>
            <w:pPr>
              <w:jc w:val="right"/>
            </w:pPr>
            <w:r>
              <w:rPr>
                <w:rFonts w:ascii="Aptos" w:cs="Aptos" w:eastAsia="Aptos" w:hAnsi="Aptos"/>
                <w:b/>
                <w:bCs/>
                <w:color w:val="5B6573"/>
                <w:sz w:val="20"/>
                <w:szCs w:val="20"/>
              </w:rPr>
              <w:t xml:space="preserve">SHIPPING INSTRUCTION — FOR CHA / SHIPPING LINE</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D6FA8" w:sz="12" w:space="0"/>
              <w:bottom w:val="single" w:color="D0D8E4" w:sz="2"/>
              <w:right w:val="single" w:color="D0D8E4" w:sz="2"/>
            </w:tcBorders>
            <w:shd w:fill="E6F1FB" w:val="clear"/>
            <w:tcMar>
              <w:top w:type="dxa" w:w="100"/>
              <w:left w:type="dxa" w:w="180"/>
              <w:bottom w:type="dxa" w:w="100"/>
              <w:right w:type="dxa" w:w="180"/>
            </w:tcMar>
          </w:tcPr>
          <w:p>
            <w:r>
              <w:rPr>
                <w:rFonts w:ascii="Aptos" w:cs="Aptos" w:eastAsia="Aptos" w:hAnsi="Aptos"/>
                <w:b/>
                <w:bCs/>
                <w:color w:val="042C53"/>
                <w:sz w:val="19"/>
                <w:szCs w:val="19"/>
              </w:rPr>
              <w:t xml:space="preserve">Send this sheet to your CHA or shipping line BEFORE shipment booking is confirmed. </w:t>
            </w:r>
            <w:r>
              <w:rPr>
                <w:rFonts w:ascii="Aptos" w:cs="Aptos" w:eastAsia="Aptos" w:hAnsi="Aptos"/>
                <w:i/>
                <w:iCs/>
                <w:color w:val="185FA5"/>
                <w:sz w:val="18"/>
                <w:szCs w:val="18"/>
              </w:rPr>
              <w:t xml:space="preserve">All details must match the Commercial Invoice and Packing List exactly. Any mismatch on the issued BL is expensive and time-consuming to correct — amendments after BL issuance attract charges and delays.</w:t>
            </w:r>
          </w:p>
        </w:tc>
      </w:tr>
    </w:tbl>
    <w:p>
      <w:pPr>
        <w:spacing w:after="1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BL INSTRUCTION NO. *</w:t>
            </w:r>
          </w:p>
          <w:p>
            <w:r>
              <w:rPr>
                <w:rFonts w:ascii="Aptos" w:cs="Aptos" w:eastAsia="Aptos" w:hAnsi="Aptos"/>
                <w:b/>
                <w:bCs/>
                <w:color w:val="17233A"/>
                <w:sz w:val="20"/>
                <w:szCs w:val="20"/>
              </w:rPr>
              <w:t xml:space="preserve">[BLI/YYYY/MMNNN]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SHIPPER / EXPORTER  (appears on BL exactly as written)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Company Name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NEXACREST INTERNATIONAL PRIVATE LIMITED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Address Line 1</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No. 33, T Ramaiah Garden, 2 Hulimavu Village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Address Line 2</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Hulimavu, Bangalore South, Bengaluru – 560076</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Country</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India</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GSTIN</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29AAKCN8733G1ZZ</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IEC</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AAKCN8733G</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Contact / Phone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+91-7676463030  |  gulmohar.sontakke@nexacrestinternational.com</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CONSIGNEE  (buyer — appears on BL exactly as written)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Company Legal Name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[Exact legal name — must match Commercial Invoice]</w:t>
            </w:r>
          </w:p>
          <w:p>
            <w:r>
              <w:rPr>
                <w:rFonts w:ascii="Aptos" w:cs="Aptos" w:eastAsia="Aptos" w:hAnsi="Aptos"/>
                <w:i/>
                <w:iCs/>
                <w:color w:val="5B6573"/>
                <w:sz w:val="17"/>
                <w:szCs w:val="17"/>
              </w:rPr>
              <w:t xml:space="preserve">Spelling must be character-for-character identical to CI</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Full Address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[Full address including postcode — must match CI]</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Country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[UK / France / Norway / Other]</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VAT / EORI / Tax Ref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[UK: EORI No.  |  France: SIRET+TVA  |  Norway: Org. No.+MVA]</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NOTIFY PARTY</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Same as consignee?</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
                <w:bCs w:val=""/>
                <w:i w:val=""/>
                <w:iCs w:val=""/>
                <w:color w:val="000000"/>
                <w:sz w:val="19"/>
                <w:szCs w:val="19"/>
              </w:rPr>
              <w:t xml:space="preserve"/>
            </w:r>
          </w:p>
          <w:p>
            <w:r>
              <w:rPr>
                <w:rFonts w:ascii="Aptos" w:cs="Aptos" w:eastAsia="Aptos" w:hAnsi="Aptos"/>
                <w:i/>
                <w:iCs/>
                <w:color w:val="5B6573"/>
                <w:sz w:val="17"/>
                <w:szCs w:val="17"/>
              </w:rPr>
              <w:t xml:space="preserve">If yes — write 'SAME AS CONSIGNEE'. If different (e.g., buyer's freight agent at destination), fill below.</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Notify Party Name</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[Name of freight agent / forwarder at destination — if different from consignee]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Notify Party Address</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[Full address]</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Notify Party Contact</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[Email / phone of freight agent]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SHIPMENT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Port of Loading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Chennai, India</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Port of Discharge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Tilbury, UK  /  Felixstowe, UK  /  Marseille, France  /  Oslo, Norway]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Place of Delivery</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[If door delivery / inland destination — otherwise same as Port of Discharge]</w:t>
            </w:r>
          </w:p>
          <w:p>
            <w:r>
              <w:rPr>
                <w:rFonts w:ascii="Aptos" w:cs="Aptos" w:eastAsia="Aptos" w:hAnsi="Aptos"/>
                <w:i/>
                <w:iCs/>
                <w:color w:val="5B6573"/>
                <w:sz w:val="17"/>
                <w:szCs w:val="17"/>
              </w:rPr>
              <w:t xml:space="preserve">For FCL: usually same as port of discharge unless buyer has inland delivery arrangement</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Vessel Name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by shipping line at time of booking]</w:t>
            </w:r>
          </w:p>
          <w:p>
            <w:r>
              <w:rPr>
                <w:rFonts w:ascii="Aptos" w:cs="Aptos" w:eastAsia="Aptos" w:hAnsi="Aptos"/>
                <w:i/>
                <w:iCs/>
                <w:color w:val="5B6573"/>
                <w:sz w:val="17"/>
                <w:szCs w:val="17"/>
              </w:rPr>
              <w:t xml:space="preserve">CHA provides this once booking is confirmed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Voyage Number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by shipping line]</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ETD (Est. Departure)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[Expected date of departure from Chennai]</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ETA (Est. Arrival)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[Expected date of arrival at destination port]</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CONTAINER &amp; CARGO DETAILS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Container Load Type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rPr>
              <w:t xml:space="preserve">☐  FCL (Full Container Load)</w:t>
            </w:r>
            <w:r>
              <w:rPr>
                <w:rFonts w:ascii="Aptos" w:cs="Aptos" w:eastAsia="Aptos" w:hAnsi="Aptos"/>
                <w:sz w:val="19"/>
                <w:szCs w:val="19"/>
              </w:rPr>
              <w:t xml:space="preserve">     ☐  LCL (Less than Container Load)</w:t>
            </w:r>
          </w:p>
          <w:p>
            <w:r>
              <w:rPr>
                <w:rFonts w:ascii="Aptos" w:cs="Aptos" w:eastAsia="Aptos" w:hAnsi="Aptos"/>
                <w:i/>
                <w:iCs/>
                <w:color w:val="5B6573"/>
                <w:sz w:val="17"/>
                <w:szCs w:val="17"/>
              </w:rPr>
              <w:t xml:space="preserve">FCL: entire container for one shipment. LCL: shared container — rates differ.</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Container Size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rPr>
              <w:t xml:space="preserve">☐  20ft Standard</w:t>
            </w:r>
            <w:r>
              <w:rPr>
                <w:rFonts w:ascii="Aptos" w:cs="Aptos" w:eastAsia="Aptos" w:hAnsi="Aptos"/>
                <w:sz w:val="19"/>
                <w:szCs w:val="19"/>
              </w:rPr>
              <w:t xml:space="preserve">     ☐  40ft Standard</w:t>
            </w:r>
            <w:r>
              <w:rPr>
                <w:rFonts w:ascii="Aptos" w:cs="Aptos" w:eastAsia="Aptos" w:hAnsi="Aptos"/>
                <w:sz w:val="19"/>
                <w:szCs w:val="19"/>
              </w:rPr>
              <w:t xml:space="preserve">     ☐  40ft High Cube</w:t>
            </w:r>
          </w:p>
          <w:p>
            <w:r>
              <w:rPr>
                <w:rFonts w:ascii="Aptos" w:cs="Aptos" w:eastAsia="Aptos" w:hAnsi="Aptos"/>
                <w:i/>
                <w:iCs/>
                <w:color w:val="5B6573"/>
                <w:sz w:val="17"/>
                <w:szCs w:val="17"/>
              </w:rPr>
              <w:t xml:space="preserve">Confirm with freight forwarder based on CBM from Packing List</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Container No.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by shipping line after stuffing]</w:t>
            </w:r>
          </w:p>
          <w:p>
            <w:r>
              <w:rPr>
                <w:rFonts w:ascii="Aptos" w:cs="Aptos" w:eastAsia="Aptos" w:hAnsi="Aptos"/>
                <w:i/>
                <w:iCs/>
                <w:color w:val="5B6573"/>
                <w:sz w:val="17"/>
                <w:szCs w:val="17"/>
              </w:rPr>
              <w:t xml:space="preserve">Provided by CHA after container is sealed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Seal No.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[To be confirmed after stuffing]</w:t>
            </w:r>
          </w:p>
          <w:p>
            <w:r>
              <w:rPr>
                <w:rFonts w:ascii="Aptos" w:cs="Aptos" w:eastAsia="Aptos" w:hAnsi="Aptos"/>
                <w:i/>
                <w:iCs/>
                <w:color w:val="5B6573"/>
                <w:sz w:val="17"/>
                <w:szCs w:val="17"/>
              </w:rPr>
              <w:t xml:space="preserve">Customs seal number — provided by CHA</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 of Packages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10 Wooden Crates — must match Packing List exactly]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Gross Weight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24,500 kg — must match Packing List exactly]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Net Weight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22,000 kg — must match Packing List exactly]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Total CBM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10.08 m³ — must match Packing List exactly]</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CARGO DESCRIPTION  (appears on BL exactly as written)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Description of Goods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Absolute Black Granite Memorial Monuments, Mirror Polished — must match Commercial Invoice exactly]</w:t>
            </w:r>
          </w:p>
          <w:p>
            <w:r>
              <w:rPr>
                <w:rFonts w:ascii="Aptos" w:cs="Aptos" w:eastAsia="Aptos" w:hAnsi="Aptos"/>
                <w:i/>
                <w:iCs/>
                <w:color w:val="5B6573"/>
                <w:sz w:val="17"/>
                <w:szCs w:val="17"/>
              </w:rPr>
              <w:t xml:space="preserve">Keep description concise — do not add words not on CI</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HS Code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6802.93 — Worked Monumental Granite]</w:t>
            </w:r>
          </w:p>
          <w:p>
            <w:r>
              <w:rPr>
                <w:rFonts w:ascii="Aptos" w:cs="Aptos" w:eastAsia="Aptos" w:hAnsi="Aptos"/>
                <w:i/>
                <w:iCs/>
                <w:color w:val="5B6573"/>
                <w:sz w:val="17"/>
                <w:szCs w:val="17"/>
              </w:rPr>
              <w:t xml:space="preserve">Must match Commercial Invoice and COO</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Marks &amp; Numbers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NEXACREST / [BUYER NAME] / [PORT OF DISCHARGE] / C-001/[TOTAL] to C-[TOTAL]/[TOTAL] / [PI NUMBER] / MADE IN INDIA</w:t>
            </w:r>
          </w:p>
          <w:p>
            <w:r>
              <w:rPr>
                <w:rFonts w:ascii="Aptos" w:cs="Aptos" w:eastAsia="Aptos" w:hAnsi="Aptos"/>
                <w:i/>
                <w:iCs/>
                <w:color w:val="5B6573"/>
                <w:sz w:val="17"/>
                <w:szCs w:val="17"/>
              </w:rPr>
              <w:t xml:space="preserve">Must match marks stencilled on physical crates</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Country of Origin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India</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FREIGHT &amp; CHARGES ON BL  |  Incoterms® 2020</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Freight Terms *</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sz w:val="19"/>
                <w:szCs w:val="19"/>
              </w:rPr>
              <w:t xml:space="preserve">☐  Freight Prepaid (seller pays freight — CFR/CIF)</w:t>
            </w:r>
            <w:r>
              <w:rPr>
                <w:rFonts w:ascii="Aptos" w:cs="Aptos" w:eastAsia="Aptos" w:hAnsi="Aptos"/>
                <w:sz w:val="19"/>
                <w:szCs w:val="19"/>
              </w:rPr>
              <w:t xml:space="preserve">     ☐  Freight Collect (buyer pays freight — FOB)</w:t>
            </w:r>
          </w:p>
          <w:p>
            <w:r>
              <w:rPr>
                <w:rFonts w:ascii="Aptos" w:cs="Aptos" w:eastAsia="Aptos" w:hAnsi="Aptos"/>
                <w:i/>
                <w:iCs/>
                <w:color w:val="5B6573"/>
                <w:sz w:val="17"/>
                <w:szCs w:val="17"/>
              </w:rPr>
              <w:t xml:space="preserve">FOB: Freight Collect — as per agreed terms.  CFR/CIF: Freight Prepaid — as per agreed terms.</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Freight Amount</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[USD XXXXX.XX — if CFR/CIF and prepaid]</w:t>
            </w:r>
          </w:p>
          <w:p>
            <w:r>
              <w:rPr>
                <w:rFonts w:ascii="Aptos" w:cs="Aptos" w:eastAsia="Aptos" w:hAnsi="Aptos"/>
                <w:i/>
                <w:iCs/>
                <w:color w:val="5B6573"/>
                <w:sz w:val="17"/>
                <w:szCs w:val="17"/>
              </w:rPr>
              <w:t xml:space="preserve">Leave blank for FOB (Freight Collect). For CFR/CIF: enter actual freight amount from Freight Debit Note.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60"/>
            </w:pPr>
            <w:r>
              <w:rPr>
                <w:rFonts w:ascii="Aptos" w:cs="Aptos" w:eastAsia="Aptos" w:hAnsi="Aptos"/>
                <w:b/>
                <w:bCs/>
                <w:color w:val="8A1F1F"/>
                <w:sz w:val="21"/>
                <w:szCs w:val="21"/>
              </w:rPr>
              <w:t xml:space="preserve">⚠  MANDATORY — DRAFT BL APPROVAL REQUIRED BEFORE ORIGINALS ARE ISSUED</w:t>
            </w:r>
          </w:p>
          <w:p>
            <w:r>
              <w:rPr>
                <w:rFonts w:ascii="Aptos" w:cs="Aptos" w:eastAsia="Aptos" w:hAnsi="Aptos"/>
                <w:color w:val="5A1414"/>
                <w:sz w:val="19"/>
                <w:szCs w:val="19"/>
              </w:rPr>
              <w:t xml:space="preserve">CHA / Shipping Line must send the complete draft Bill of Lading to NexaCrest for written approval before issuing any original BL. No original BL may be issued without NexaCrest’s prior written approval. Send draft BL to NexaCrest at contact details in Section 1 above.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BILL OF LADING TYPE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pPr>
              <w:spacing w:after="80"/>
            </w:pPr>
            <w:r>
              <w:rPr>
                <w:rFonts w:ascii="Aptos" w:cs="Aptos" w:eastAsia="Aptos" w:hAnsi="Aptos"/>
                <w:b/>
                <w:bCs/>
                <w:color w:val="8A1F1F"/>
                <w:sz w:val="22"/>
                <w:szCs w:val="22"/>
              </w:rPr>
              <w:t xml:space="preserve">MANDATORY INSTRUCTION — DO NOT ISSUE SEA WAYBILL OR EXPRESS BL</w:t>
            </w:r>
          </w:p>
          <w:p>
            <w:pPr>
              <w:spacing w:after="80"/>
            </w:pPr>
            <w:r>
              <w:rPr>
                <w:rFonts w:ascii="Aptos" w:cs="Aptos" w:eastAsia="Aptos" w:hAnsi="Aptos"/>
                <w:b/>
                <w:bCs/>
                <w:color w:val="8A1F1F"/>
                <w:sz w:val="20"/>
                <w:szCs w:val="20"/>
              </w:rPr>
              <w:t xml:space="preserve">Always issue: </w:t>
            </w:r>
            <w:r>
              <w:rPr>
                <w:rFonts w:ascii="Aptos" w:cs="Aptos" w:eastAsia="Aptos" w:hAnsi="Aptos"/>
                <w:b/>
                <w:bCs/>
                <w:color w:val="8A1F1F"/>
                <w:sz w:val="24"/>
                <w:szCs w:val="24"/>
              </w:rPr>
              <w:t xml:space="preserve">ORIGINAL NEGOTIABLE BILL OF LADING — 3 ORIGINALS</w:t>
            </w:r>
          </w:p>
          <w:p>
            <w:r>
              <w:rPr>
                <w:rFonts w:ascii="Aptos" w:cs="Aptos" w:eastAsia="Aptos" w:hAnsi="Aptos"/>
                <w:b/>
                <w:bCs/>
                <w:color w:val="5A1414"/>
                <w:sz w:val="19"/>
                <w:szCs w:val="19"/>
              </w:rPr>
              <w:t xml:space="preserve">Reason: </w:t>
            </w:r>
            <w:r>
              <w:rPr>
                <w:rFonts w:ascii="Aptos" w:cs="Aptos" w:eastAsia="Aptos" w:hAnsi="Aptos"/>
                <w:color w:val="5A1414"/>
                <w:sz w:val="18"/>
                <w:szCs w:val="18"/>
              </w:rPr>
              <w:t xml:space="preserve">NexaCrest payment terms are 40% advance + 60% balance payable against the original BL. NexaCrest retains all 3 original BLs and only releases them to the buyer AFTER the 60% balance T/T is received and cleared in the NexaCrest bank account. Under a Sea Waybill or Express BL, the buyer can collect the cargo without surrendering any document — NexaCrest would lose all financial leverage and may not receive the 60% balance. A Sea Waybill must NEVER be issued for NexaCrest shipments.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BL Type</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ORIGINAL NEGOTIABLE BILL OF LADING</w:t>
            </w:r>
          </w:p>
          <w:p>
            <w:r>
              <w:rPr>
                <w:rFonts w:ascii="Aptos" w:cs="Aptos" w:eastAsia="Aptos" w:hAnsi="Aptos"/>
                <w:i/>
                <w:iCs/>
                <w:color w:val="5B6573"/>
                <w:sz w:val="17"/>
                <w:szCs w:val="17"/>
              </w:rPr>
              <w:t xml:space="preserve">Always — no exceptions. Do not substitute with Sea Waybill or Express BL.</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 of Original copies</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bCs/>
                <w:i w:val="false"/>
                <w:iCs w:val="false"/>
                <w:color w:val="000000"/>
                <w:sz w:val="19"/>
                <w:szCs w:val="19"/>
              </w:rPr>
              <w:t xml:space="preserve">3 (three originals)</w:t>
            </w:r>
          </w:p>
          <w:p>
            <w:r>
              <w:rPr>
                <w:rFonts w:ascii="Aptos" w:cs="Aptos" w:eastAsia="Aptos" w:hAnsi="Aptos"/>
                <w:i/>
                <w:iCs/>
                <w:color w:val="5B6573"/>
                <w:sz w:val="17"/>
                <w:szCs w:val="17"/>
              </w:rPr>
              <w:t xml:space="preserve">Standard. NexaCrest will hold all 3 originals until 60% balance payment is received.</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No. of Non-negotiable copies</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iCs/>
                <w:color w:val="5B6573"/>
                <w:sz w:val="19"/>
                <w:szCs w:val="19"/>
              </w:rPr>
              <w:t xml:space="preserve">[e.g., 3]</w:t>
            </w:r>
          </w:p>
          <w:p>
            <w:r>
              <w:rPr>
                <w:rFonts w:ascii="Aptos" w:cs="Aptos" w:eastAsia="Aptos" w:hAnsi="Aptos"/>
                <w:i/>
                <w:iCs/>
                <w:color w:val="5B6573"/>
                <w:sz w:val="17"/>
                <w:szCs w:val="17"/>
              </w:rPr>
              <w:t xml:space="preserve">For buyer records and NexaCrest file — non-negotiable copies are released freely.</w:t>
            </w:r>
          </w:p>
        </w:tc>
      </w:tr>
      <w:tr>
        <w:tc>
          <w:tcPr>
            <w:tcW w:type="dxa" w:w="24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BL Consignee instruction</w:t>
            </w:r>
            <w:r>
              <w:rPr>
                <w:rFonts w:ascii="Aptos" w:cs="Aptos" w:eastAsia="Aptos" w:hAnsi="Aptos"/>
                <w:b/>
                <w:bCs/>
                <w:color w:val="C0392B"/>
                <w:sz w:val="19"/>
                <w:szCs w:val="19"/>
              </w:rPr>
              <w:t xml:space="preserve"> *</w:t>
            </w:r>
          </w:p>
        </w:tc>
        <w:tc>
          <w:tcPr>
            <w:tcW w:type="dxa" w:w="7238"/>
            <w:tcBorders>
              <w:top w:val="single" w:color="D0D8E4" w:sz="2"/>
              <w:left w:val="single" w:color="D0D8E4" w:sz="2"/>
              <w:bottom w:val="single" w:color="D0D8E4" w:sz="2"/>
              <w:right w:val="single" w:color="D0D8E4" w:sz="2"/>
            </w:tcBorders>
            <w:shd w:fill="FFFFFF" w:val="clear"/>
            <w:tcMar>
              <w:top w:type="dxa" w:w="90"/>
              <w:left w:type="dxa" w:w="160"/>
              <w:bottom w:type="dxa" w:w="90"/>
              <w:right w:type="dxa" w:w="160"/>
            </w:tcMar>
          </w:tcPr>
          <w:p>
            <w:r>
              <w:rPr>
                <w:rFonts w:ascii="Aptos" w:cs="Aptos" w:eastAsia="Aptos" w:hAnsi="Aptos"/>
                <w:b w:val="false"/>
                <w:bCs w:val="false"/>
                <w:i w:val="false"/>
                <w:iCs w:val="false"/>
                <w:color w:val="000000"/>
                <w:sz w:val="19"/>
                <w:szCs w:val="19"/>
              </w:rPr>
              <w:t xml:space="preserve">TO ORDER OF NEXACREST INTERNATIONAL PRIVATE LIMITED</w:t>
            </w:r>
          </w:p>
          <w:p>
            <w:r>
              <w:rPr>
                <w:rFonts w:ascii="Aptos" w:cs="Aptos" w:eastAsia="Aptos" w:hAnsi="Aptos"/>
                <w:i/>
                <w:iCs/>
                <w:color w:val="5B6573"/>
                <w:sz w:val="17"/>
                <w:szCs w:val="17"/>
              </w:rPr>
              <w:t xml:space="preserve">This ensures the BL is to NexaCrest's order — maximum control. Buyer cannot endorse or use the BL until NexaCrest endorses and releases it.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D6FA8" w:sz="14" w:space="0"/>
              <w:bottom w:val="single" w:color="D0D8E4" w:sz="2"/>
              <w:right w:val="single" w:color="D0D8E4" w:sz="2"/>
            </w:tcBorders>
            <w:shd w:fill="E6F1FB" w:val="clear"/>
            <w:tcMar>
              <w:top w:type="dxa" w:w="100"/>
              <w:left w:type="dxa" w:w="180"/>
              <w:bottom w:type="dxa" w:w="100"/>
              <w:right w:type="dxa" w:w="180"/>
            </w:tcMar>
          </w:tcPr>
          <w:p>
            <w:r>
              <w:rPr>
                <w:rFonts w:ascii="Aptos" w:cs="Aptos" w:eastAsia="Aptos" w:hAnsi="Aptos"/>
                <w:b/>
                <w:bCs/>
                <w:color w:val="042C53"/>
                <w:sz w:val="19"/>
                <w:szCs w:val="19"/>
              </w:rPr>
              <w:t xml:space="preserve">Original BL release process: </w:t>
            </w:r>
            <w:r>
              <w:rPr>
                <w:rFonts w:ascii="Aptos" w:cs="Aptos" w:eastAsia="Aptos" w:hAnsi="Aptos"/>
                <w:color w:val="185FA5"/>
                <w:sz w:val="18"/>
                <w:szCs w:val="18"/>
              </w:rPr>
              <w:t xml:space="preserve">Once all 3 originals are issued, CHA to hand them to NexaCrest only. NexaCrest will courier originals to the buyer after confirming receipt of the 60% balance T/T payment in the NexaCrest bank account. NexaCrest retains all original BLs until balance payment is received and cleared. Cargo release at destination is subject to carrier and destination port procedures.</w:t>
            </w:r>
          </w:p>
        </w:tc>
      </w:tr>
    </w:tbl>
    <w:p>
      <w:pPr>
        <w:spacing w:after="200" w:before="0"/>
      </w:pP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2026-09-11T03:52:50.052Z</dcterms:created>
  <dcterms:modified xsi:type="dcterms:W3CDTF">2026-09-11T03:52:50.052Z</dcterms:modified>
</cp:coreProperties>
</file>

<file path=docProps/custom.xml><?xml version="1.0" encoding="utf-8"?>
<Properties xmlns="http://schemas.openxmlformats.org/officeDocument/2006/custom-properties" xmlns:vt="http://schemas.openxmlformats.org/officeDocument/2006/docPropsVTypes"/>
</file>