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c>
          <w:tcPr>
            <w:tcW w:type="dxa" w:w="1400"/>
            <w:tcBorders>
              <w:top w:val="none" w:color="FFFFFF" w:sz="0"/>
              <w:left w:val="none" w:color="FFFFFF" w:sz="0"/>
              <w:bottom w:val="none" w:color="FFFFFF" w:sz="0"/>
              <w:right w:val="none" w:color="FFFFFF" w:sz="0"/>
            </w:tcBorders>
            <w:tcMar>
              <w:top w:type="dxa" w:w="0"/>
              <w:left w:type="dxa" w:w="0"/>
              <w:bottom w:type="dxa" w:w="0"/>
              <w:right w:type="dxa" w:w="200"/>
            </w:tcMar>
            <w:vAlign w:val="center"/>
          </w:tcPr>
          <w:p>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85800" cy="685800"/>
                          </a:xfrm>
                          <a:prstGeom prst="rect">
                            <a:avLst/>
                          </a:prstGeom>
                        </pic:spPr>
                      </pic:pic>
                    </a:graphicData>
                  </a:graphic>
                </wp:inline>
              </w:drawing>
            </w:r>
          </w:p>
        </w:tc>
        <w:tc>
          <w:tcPr>
            <w:tcW w:type="dxa" w:w="8238"/>
            <w:tcBorders>
              <w:top w:val="none" w:color="FFFFFF" w:sz="0"/>
              <w:left w:val="none" w:color="FFFFFF" w:sz="0"/>
              <w:bottom w:val="none" w:color="FFFFFF" w:sz="0"/>
              <w:right w:val="none" w:color="FFFFFF" w:sz="0"/>
            </w:tcBorders>
            <w:vAlign w:val="center"/>
          </w:tcPr>
          <w:p>
            <w:pPr>
              <w:spacing w:after="60"/>
              <w:jc w:val="right"/>
            </w:pPr>
            <w:r>
              <w:rPr>
                <w:rFonts w:ascii="Aptos" w:cs="Aptos" w:eastAsia="Aptos" w:hAnsi="Aptos"/>
                <w:b/>
                <w:bCs/>
                <w:color w:val="17233A"/>
                <w:sz w:val="26"/>
                <w:szCs w:val="26"/>
              </w:rPr>
              <w:t xml:space="preserve">NEXACREST INTERNATIONAL PRIVATE LIMITED</w:t>
            </w:r>
          </w:p>
          <w:p>
            <w:pPr>
              <w:spacing w:after="40"/>
              <w:jc w:val="right"/>
            </w:pPr>
            <w:r>
              <w:rPr>
                <w:rFonts w:ascii="Aptos" w:cs="Aptos" w:eastAsia="Aptos" w:hAnsi="Aptos"/>
                <w:b/>
                <w:bCs/>
                <w:color w:val="17233A"/>
                <w:sz w:val="36"/>
                <w:szCs w:val="36"/>
              </w:rPr>
              <w:t xml:space="preserve">PURCHASE ORDER</w:t>
            </w:r>
          </w:p>
          <w:p>
            <w:pPr>
              <w:jc w:val="right"/>
            </w:pPr>
            <w:r>
              <w:rPr>
                <w:rFonts w:ascii="Aptos" w:cs="Aptos" w:eastAsia="Aptos" w:hAnsi="Aptos"/>
                <w:b/>
                <w:bCs/>
                <w:color w:val="5B6573"/>
                <w:sz w:val="20"/>
                <w:szCs w:val="20"/>
              </w:rPr>
              <w:t xml:space="preserve">ORDER ACCEPTANCE — Issued to Buyer for Signature and Return</w:t>
            </w:r>
          </w:p>
        </w:tc>
      </w:tr>
    </w:tbl>
    <w:p>
      <w:pPr>
        <w:spacing w:after="80" w:before="0"/>
      </w:pPr>
    </w:p>
    <w:p>
      <w:r>
        <w:rPr>
          <w:rFonts w:ascii="Aptos" w:cs="Aptos" w:eastAsia="Aptos" w:hAnsi="Aptos"/>
          <w:i/>
          <w:iCs/>
          <w:color w:val="555555"/>
          <w:sz w:val="18"/>
          <w:szCs w:val="18"/>
        </w:rPr>
        <w:t xml:space="preserve">This Purchase Order is prepared by NexaCrest and sent to the buyer for signature and return. </w:t>
      </w:r>
      <w:r>
        <w:rPr>
          <w:rFonts w:ascii="Aptos" w:cs="Aptos" w:eastAsia="Aptos" w:hAnsi="Aptos"/>
          <w:i/>
          <w:iCs/>
          <w:color w:val="555555"/>
          <w:sz w:val="18"/>
          <w:szCs w:val="18"/>
        </w:rPr>
        <w:t xml:space="preserve">Buyer fills Column B of Section 4 only. All other fields are pre-filled by NexaCrest.</w:t>
      </w:r>
    </w:p>
    <w:p>
      <w:pPr>
        <w:spacing w:after="1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PO NUMBER *</w:t>
            </w:r>
          </w:p>
          <w:p>
            <w:r>
              <w:rPr>
                <w:rFonts w:ascii="Aptos" w:cs="Aptos" w:eastAsia="Aptos" w:hAnsi="Aptos"/>
                <w:b/>
                <w:bCs/>
                <w:color w:val="17233A"/>
                <w:sz w:val="20"/>
                <w:szCs w:val="20"/>
              </w:rPr>
              <w:t xml:space="preserve">[SC/PO/YYYY/DDMMNNN Rev.00]</w:t>
            </w:r>
          </w:p>
        </w:tc>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DATE *</w:t>
            </w:r>
          </w:p>
          <w:p>
            <w:r>
              <w:rPr>
                <w:rFonts w:ascii="Aptos" w:cs="Aptos" w:eastAsia="Aptos" w:hAnsi="Aptos"/>
                <w:b/>
                <w:bCs/>
                <w:color w:val="17233A"/>
                <w:sz w:val="20"/>
                <w:szCs w:val="20"/>
              </w:rPr>
              <w:t xml:space="preserve">[DD Month YYYY]</w:t>
            </w:r>
          </w:p>
        </w:tc>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QT REFERENCE *</w:t>
            </w:r>
          </w:p>
          <w:p>
            <w:r>
              <w:rPr>
                <w:rFonts w:ascii="Aptos" w:cs="Aptos" w:eastAsia="Aptos" w:hAnsi="Aptos"/>
                <w:b/>
                <w:bCs/>
                <w:color w:val="17233A"/>
                <w:sz w:val="20"/>
                <w:szCs w:val="20"/>
              </w:rPr>
              <w:t xml:space="preserve">[SC/QT/YYYY/DDMMNNN]</w:t>
            </w:r>
          </w:p>
        </w:tc>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BUYER INQUIRY REF *</w:t>
            </w:r>
          </w:p>
          <w:p>
            <w:r>
              <w:rPr>
                <w:rFonts w:ascii="Aptos" w:cs="Aptos" w:eastAsia="Aptos" w:hAnsi="Aptos"/>
                <w:b/>
                <w:bCs/>
                <w:color w:val="17233A"/>
                <w:sz w:val="20"/>
                <w:szCs w:val="20"/>
              </w:rPr>
              <w:t xml:space="preserve">[NC/SC/YYYY/DDMMNNN]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F9F27" w:sz="16" w:space="0"/>
              <w:left w:val="single" w:color="D0D8E4" w:sz="2"/>
              <w:bottom w:val="single" w:color="D0D8E4" w:sz="2"/>
              <w:right w:val="single" w:color="D0D8E4" w:sz="2"/>
            </w:tcBorders>
            <w:shd w:fill="FFF3CD" w:val="clear"/>
            <w:tcMar>
              <w:top w:type="dxa" w:w="100"/>
              <w:left w:type="dxa" w:w="200"/>
              <w:bottom w:type="dxa" w:w="100"/>
              <w:right w:type="dxa" w:w="200"/>
            </w:tcMar>
          </w:tcPr>
          <w:p>
            <w:r>
              <w:rPr>
                <w:rFonts w:ascii="Aptos" w:cs="Aptos" w:eastAsia="Aptos" w:hAnsi="Aptos"/>
                <w:b/>
                <w:bCs/>
                <w:color w:val="633806"/>
                <w:sz w:val="19"/>
                <w:szCs w:val="19"/>
              </w:rPr>
              <w:t xml:space="preserve">⏱  VALID UNTIL *   </w:t>
            </w:r>
            <w:r>
              <w:rPr>
                <w:rFonts w:ascii="Aptos" w:cs="Aptos" w:eastAsia="Aptos" w:hAnsi="Aptos"/>
                <w:b/>
                <w:bCs/>
                <w:color w:val="412402"/>
                <w:sz w:val="22"/>
                <w:szCs w:val="22"/>
              </w:rPr>
              <w:t xml:space="preserve">[DD Month YYYY — same as Quotation validity]</w:t>
            </w:r>
            <w:r>
              <w:rPr>
                <w:rFonts w:ascii="Aptos" w:cs="Aptos" w:eastAsia="Aptos" w:hAnsi="Aptos"/>
                <w:i/>
                <w:iCs/>
                <w:color w:val="854F0B"/>
                <w:sz w:val="17"/>
                <w:szCs w:val="17"/>
              </w:rPr>
              <w:t xml:space="preserve">     This Purchase Order must be signed and returned before the Quotation validity expires.</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1. SUPPLIER  (NexaCrest International Private Limited)</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Company / Legal Entity</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NexaCrest International Private Limited</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Registered Office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No. 33, T Ramaiah Garden, 2 Hulimavu Village, Hulimavu,
Bangalore South, Bengaluru, Karnataka – 560076, India</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Corporate Office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Evolve Work Studio, 4th Floor, The Hub @ Raj Serenity,
Khatha No. 10, Begur Koppa Road, Yelenahalli,
Bengaluru – 560068, Karnataka, India</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GSTIN</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29AAKCN8733G1ZZ</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IEC / PAN</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sz w:val="19"/>
                <w:szCs w:val="19"/>
              </w:rPr>
              <w:t xml:space="preserve">AAKCN8733G</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Contact Person</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sz w:val="19"/>
                <w:szCs w:val="19"/>
              </w:rPr>
              <w:t xml:space="preserve">Gulmohar Sontakke — Founder &amp; Managing Director</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Phone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+91-7676463030</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Email</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gulmohar.sontakke@nexacrestinternational.com</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2. BUYER / CONSIGNEE DETAILS  (Pre-filled by NexaCrest — buyer to confirm)</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Company Legal Name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[Pre-filled from client data form — exact legal name]</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Billing Address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[Pre-filled from client data form]</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Consignee Name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[Pre-filled — write SAME if identical to company name]</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Consignee Address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[Pre-filled — write SAME if identical to billing address]</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VAT / EORI / Tax Reg.*</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[Pre-filled from client data form]</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Contact Person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[Pre-filled from client data form]</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Phone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[Pre-filled from client data form]</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Email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[Pre-filled from client data form]</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Country of Destination*</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[Pre-filled from client data form]</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Port of Discharge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[Pre-filled from Quotation]</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3. ORDER DETAILS  (Pre-filled from Quotation — buyer to confirm)</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Against Quotation No.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[SC/QT/YYYY/DDMMNNN — FIXED]</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Quotation Date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[DD Month YYYY — FIXED]</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Product Description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[Pre-filled from QT — exact description as per Quotation]</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Quantity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[Pre-filled from QT — confirmed quantity]</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Unit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[m² / pcs / set — as per Quotation]</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Unit Price (USD)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[Pre-filled from QT — USD X.XX per unit / m² / set]</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Total FOB Value (USD)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[Quantity × Unit Price — pre-filled from QT]</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Incoterm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FOB Chennai, India — Incoterms® 2020  [or CFR / CIF Named Port — Incoterms® 2020]</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Port of Loading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Chennai, India</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Port of Discharge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[Pre-filled from QT — must match buyer section above]</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Certificate of Origin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[GSP Form A (preferential) / Non-preferential — as confirmed by buyer]</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Payment Terms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40% advance T/T against Proforma Invoice before production. 60% balance T/T before shipment — within 3 working days of shipment readiness confirmation. Freight &amp; Insurance (CFR/CIF): invoiced separately by Freight Debit Note before shipment.</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4. BUYER ACCEPTANCE  (Buyer fills this section, signs and returns)</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5301"/>
      </w:tblGrid>
      <w:tr>
        <w:tc>
          <w:tcPr>
            <w:tcW w:type="dxa" w:w="4337"/>
            <w:tcBorders>
              <w:top w:val="single" w:color="D0D8E4" w:sz="2"/>
              <w:left w:val="single" w:color="D0D8E4" w:sz="2"/>
              <w:bottom w:val="single" w:color="D0D8E4" w:sz="2"/>
              <w:right w:val="single" w:color="D0D8E4" w:sz="2"/>
            </w:tcBorders>
            <w:shd w:fill="173B73" w:val="clear"/>
            <w:tcMar>
              <w:top w:type="dxa" w:w="80"/>
              <w:left w:type="dxa" w:w="160"/>
              <w:bottom w:type="dxa" w:w="80"/>
              <w:right w:type="dxa" w:w="100"/>
            </w:tcMar>
          </w:tcPr>
          <w:p>
            <w:r>
              <w:rPr>
                <w:rFonts w:ascii="Aptos" w:cs="Aptos" w:eastAsia="Aptos" w:hAnsi="Aptos"/>
                <w:b/>
                <w:bCs/>
                <w:color w:val="FFFFFF"/>
                <w:sz w:val="19"/>
                <w:szCs w:val="19"/>
              </w:rPr>
              <w:t xml:space="preserve">Prepared &amp; Issued by NexaCrest</w:t>
            </w:r>
          </w:p>
        </w:tc>
        <w:tc>
          <w:tcPr>
            <w:tcW w:type="dxa" w:w="5301"/>
            <w:tcBorders>
              <w:top w:val="single" w:color="D0D8E4" w:sz="2"/>
              <w:left w:val="single" w:color="D0D8E4" w:sz="2"/>
              <w:bottom w:val="single" w:color="D0D8E4" w:sz="2"/>
              <w:right w:val="single" w:color="D0D8E4" w:sz="2"/>
            </w:tcBorders>
            <w:shd w:fill="173B73" w:val="clear"/>
            <w:tcMar>
              <w:top w:type="dxa" w:w="80"/>
              <w:left w:type="dxa" w:w="160"/>
              <w:bottom w:type="dxa" w:w="80"/>
              <w:right w:type="dxa" w:w="100"/>
            </w:tcMar>
          </w:tcPr>
          <w:p>
            <w:r>
              <w:rPr>
                <w:rFonts w:ascii="Aptos" w:cs="Aptos" w:eastAsia="Aptos" w:hAnsi="Aptos"/>
                <w:b/>
                <w:bCs/>
                <w:color w:val="FFFFFF"/>
                <w:sz w:val="19"/>
                <w:szCs w:val="19"/>
              </w:rPr>
              <w:t xml:space="preserve">Accepted by Buyer  ★  Fill, Sign &amp; Return</w:t>
            </w:r>
          </w:p>
        </w:tc>
      </w:tr>
      <w:tr>
        <w:tc>
          <w:tcPr>
            <w:tcW w:type="dxa" w:w="4337"/>
            <w:tcBorders>
              <w:top w:val="single" w:color="D0D8E4" w:sz="2"/>
              <w:left w:val="single" w:color="D0D8E4" w:sz="2"/>
              <w:bottom w:val="single" w:color="D0D8E4" w:sz="2"/>
              <w:right w:val="single" w:color="D0D8E4" w:sz="2"/>
            </w:tcBorders>
            <w:tcMar>
              <w:top w:type="dxa" w:w="200"/>
              <w:left w:type="dxa" w:w="160"/>
              <w:bottom w:type="dxa" w:w="200"/>
              <w:right w:type="dxa" w:w="100"/>
            </w:tcMar>
          </w:tcPr>
          <w:p>
            <w:pPr>
              <w:spacing w:after="60"/>
              <w:jc w:val="left"/>
            </w:pPr>
            <w:r>
              <w:drawing>
                <wp:inline distT="0" distB="0" distL="0" distR="0">
                  <wp:extent cx="12382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438150"/>
                          </a:xfrm>
                          <a:prstGeom prst="rect">
                            <a:avLst/>
                          </a:prstGeom>
                        </pic:spPr>
                      </pic:pic>
                    </a:graphicData>
                  </a:graphic>
                </wp:inline>
              </w:drawing>
            </w:r>
          </w:p>
          <w:p>
            <w:pPr>
              <w:spacing w:after="40"/>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 cy="666750"/>
                          </a:xfrm>
                          <a:prstGeom prst="rect">
                            <a:avLst/>
                          </a:prstGeom>
                        </pic:spPr>
                      </pic:pic>
                    </a:graphicData>
                  </a:graphic>
                </wp:inline>
              </w:drawing>
            </w:r>
          </w:p>
          <w:p>
            <w:pPr>
              <w:spacing w:after="20"/>
            </w:pPr>
            <w:r>
              <w:rPr>
                <w:rFonts w:ascii="Aptos" w:cs="Aptos" w:eastAsia="Aptos" w:hAnsi="Aptos"/>
                <w:b/>
                <w:bCs/>
                <w:color w:val="17233A"/>
                <w:sz w:val="19"/>
                <w:szCs w:val="19"/>
              </w:rPr>
              <w:t xml:space="preserve">Gulmohar Sontakke</w:t>
            </w:r>
          </w:p>
          <w:p>
            <w:pPr>
              <w:spacing w:after="20"/>
            </w:pPr>
            <w:r>
              <w:rPr>
                <w:rFonts w:ascii="Aptos" w:cs="Aptos" w:eastAsia="Aptos" w:hAnsi="Aptos"/>
                <w:sz w:val="18"/>
                <w:szCs w:val="18"/>
              </w:rPr>
              <w:t xml:space="preserve">Founder &amp; Managing Director</w:t>
            </w:r>
          </w:p>
          <w:p>
            <w:r>
              <w:rPr>
                <w:rFonts w:ascii="Aptos" w:cs="Aptos" w:eastAsia="Aptos" w:hAnsi="Aptos"/>
                <w:color w:val="555555"/>
                <w:sz w:val="17"/>
                <w:szCs w:val="17"/>
              </w:rPr>
              <w:t xml:space="preserve">NexaCrest International Private Limited</w:t>
            </w:r>
          </w:p>
        </w:tc>
        <w:tc>
          <w:tcPr>
            <w:tcW w:type="dxa" w:w="5301"/>
            <w:tcBorders>
              <w:top w:val="single" w:color="D0D8E4" w:sz="2"/>
              <w:left w:val="single" w:color="D0D8E4" w:sz="2"/>
              <w:bottom w:val="single" w:color="D0D8E4" w:sz="2"/>
              <w:right w:val="single" w:color="D0D8E4" w:sz="2"/>
            </w:tcBorders>
            <w:shd w:fill="FFFDE7" w:val="clear"/>
            <w:tcMar>
              <w:top w:type="dxa" w:w="120"/>
              <w:left w:type="dxa" w:w="160"/>
              <w:bottom w:type="dxa" w:w="120"/>
              <w:right w:type="dxa" w:w="100"/>
            </w:tcMar>
          </w:tcPr>
          <w:p>
            <w:pPr>
              <w:spacing w:after="100"/>
            </w:pPr>
            <w:r>
              <w:rPr>
                <w:rFonts w:ascii="Aptos" w:cs="Aptos" w:eastAsia="Aptos" w:hAnsi="Aptos"/>
                <w:b/>
                <w:bCs/>
                <w:sz w:val="18"/>
                <w:szCs w:val="18"/>
              </w:rPr>
              <w:t xml:space="preserve">Authorised Signature:</w:t>
            </w:r>
          </w:p>
          <w:p>
            <w:pPr>
              <w:spacing w:after="180"/>
            </w:pPr>
            <w:r>
              <w:rPr>
                <w:rFonts w:ascii="Aptos" w:cs="Aptos" w:eastAsia="Aptos" w:hAnsi="Aptos"/>
                <w:color w:val="999999"/>
                <w:sz w:val="18"/>
                <w:szCs w:val="18"/>
              </w:rPr>
              <w:t xml:space="preserve">_________________________________</w:t>
            </w:r>
          </w:p>
          <w:p>
            <w:pPr>
              <w:spacing w:after="80"/>
            </w:pPr>
            <w:r>
              <w:rPr>
                <w:rFonts w:ascii="Aptos" w:cs="Aptos" w:eastAsia="Aptos" w:hAnsi="Aptos"/>
                <w:sz w:val="18"/>
                <w:szCs w:val="18"/>
              </w:rPr>
              <w:t xml:space="preserve">Name: _____________________________</w:t>
            </w:r>
          </w:p>
          <w:p>
            <w:pPr>
              <w:spacing w:after="80"/>
            </w:pPr>
            <w:r>
              <w:rPr>
                <w:rFonts w:ascii="Aptos" w:cs="Aptos" w:eastAsia="Aptos" w:hAnsi="Aptos"/>
                <w:sz w:val="18"/>
                <w:szCs w:val="18"/>
              </w:rPr>
              <w:t xml:space="preserve">Designation: ______________________</w:t>
            </w:r>
          </w:p>
          <w:p>
            <w:pPr>
              <w:spacing w:after="80"/>
            </w:pPr>
            <w:r>
              <w:rPr>
                <w:rFonts w:ascii="Aptos" w:cs="Aptos" w:eastAsia="Aptos" w:hAnsi="Aptos"/>
                <w:sz w:val="18"/>
                <w:szCs w:val="18"/>
              </w:rPr>
              <w:t xml:space="preserve">Buyer’s PO No.: __________________</w:t>
            </w:r>
          </w:p>
          <w:p>
            <w:pPr>
              <w:spacing w:after="80"/>
            </w:pPr>
            <w:r>
              <w:rPr>
                <w:rFonts w:ascii="Aptos" w:cs="Aptos" w:eastAsia="Aptos" w:hAnsi="Aptos"/>
                <w:i/>
                <w:iCs/>
                <w:color w:val="888888"/>
                <w:sz w:val="16"/>
                <w:szCs w:val="16"/>
              </w:rPr>
              <w:t xml:space="preserve">(write NIL if not applicable)</w:t>
            </w:r>
          </w:p>
          <w:p>
            <w:pPr>
              <w:spacing w:after="80"/>
            </w:pPr>
            <w:r>
              <w:rPr>
                <w:rFonts w:ascii="Aptos" w:cs="Aptos" w:eastAsia="Aptos" w:hAnsi="Aptos"/>
                <w:b/>
                <w:bCs/>
                <w:sz w:val="18"/>
                <w:szCs w:val="18"/>
              </w:rPr>
              <w:t xml:space="preserve">Date: _____________________________</w:t>
            </w:r>
          </w:p>
          <w:p>
            <w:r>
              <w:rPr>
                <w:rFonts w:ascii="Aptos" w:cs="Aptos" w:eastAsia="Aptos" w:hAnsi="Aptos"/>
                <w:i/>
                <w:iCs/>
                <w:color w:val="888888"/>
                <w:sz w:val="17"/>
                <w:szCs w:val="17"/>
              </w:rPr>
              <w:t xml:space="preserve">Company Stamp: (if applicable)</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185FA5" w:sz="12"/>
              <w:bottom w:val="single" w:color="D0D8E4" w:sz="2"/>
              <w:right w:val="single" w:color="D0D8E4" w:sz="2"/>
            </w:tcBorders>
            <w:shd w:fill="E8F1FB" w:val="clear"/>
            <w:tcMar>
              <w:top w:type="dxa" w:w="100"/>
              <w:left w:type="dxa" w:w="180"/>
              <w:bottom w:type="dxa" w:w="100"/>
              <w:right w:type="dxa" w:w="180"/>
            </w:tcMar>
          </w:tcPr>
          <w:p>
            <w:r>
              <w:rPr>
                <w:rFonts w:ascii="Aptos" w:cs="Aptos" w:eastAsia="Aptos" w:hAnsi="Aptos"/>
                <w:color w:val="185FA5"/>
                <w:sz w:val="18"/>
                <w:szCs w:val="18"/>
              </w:rPr>
              <w:t xml:space="preserve">By signing above, the buyer confirms acceptance of all order details, specifications and payment terms stated in this Purchase Order. </w:t>
            </w:r>
            <w:r>
              <w:rPr>
                <w:rFonts w:ascii="Aptos" w:cs="Aptos" w:eastAsia="Aptos" w:hAnsi="Aptos"/>
                <w:b/>
                <w:bCs/>
                <w:color w:val="185FA5"/>
                <w:sz w:val="18"/>
                <w:szCs w:val="18"/>
              </w:rPr>
              <w:t xml:space="preserve">This signed Purchase Order authorises NexaCrest to issue the Proforma Invoice and commence production upon receipt of the 40% advance payment.</w:t>
            </w:r>
            <w:r>
              <w:rPr>
                <w:rFonts w:ascii="Aptos" w:cs="Aptos" w:eastAsia="Aptos" w:hAnsi="Aptos"/>
                <w:sz w:val="18"/>
                <w:szCs w:val="18"/>
              </w:rPr>
              <w:t xml:space="preserve"> The following clauses are legally binding on both parties:</w:t>
            </w:r>
          </w:p>
          <w:p>
            <w:pPr>
              <w:spacing w:after="80"/>
            </w:pPr>
            <w:r>
              <w:rPr>
                <w:rFonts w:ascii="Aptos" w:cs="Aptos" w:eastAsia="Aptos" w:hAnsi="Aptos"/>
                <w:b/>
                <w:bCs/>
                <w:sz w:val="18"/>
                <w:szCs w:val="18"/>
              </w:rPr>
              <w:t xml:space="preserve">• PAYMENT TERMS FINALITY: </w:t>
            </w:r>
            <w:r>
              <w:rPr>
                <w:rFonts w:ascii="Aptos" w:cs="Aptos" w:eastAsia="Aptos" w:hAnsi="Aptos"/>
                <w:sz w:val="18"/>
                <w:szCs w:val="18"/>
              </w:rPr>
              <w:t>The payment terms stated in this document are fixed and binding upon acceptance of this document or receipt of any advance payment, whichever occurs first. Neither party shall unilaterally modify, replace, or impose any additional or different payment terms after such acceptance or receipt of advance payment. Any amendment, modification, waiver, or variation of the payment terms shall be valid only if expressly agreed in writing by authorised representatives of both parties. The agreed payment terms may not be amended or waived by any verbal statement, informal communication, partial payment, purchase-order notation, or course of conduct, whether any of these occur individually or in combination. Any such amendment shall be documented in a formal written Payment Terms Amendment Agreement signed by authorised representatives of both parties before the amendment takes effect.</w:t>
            </w:r>
          </w:p>
          <w:p>
            <w:pPr>
              <w:spacing w:after="80"/>
            </w:pPr>
            <w:r>
              <w:rPr>
                <w:rFonts w:ascii="Aptos" w:cs="Aptos" w:eastAsia="Aptos" w:hAnsi="Aptos"/>
                <w:b/>
                <w:bCs/>
                <w:sz w:val="18"/>
                <w:szCs w:val="18"/>
              </w:rPr>
              <w:t xml:space="preserve">• DISPUTE RESOLUTION &amp; PUBLIC COMMUNICATIONS: </w:t>
            </w:r>
            <w:r>
              <w:rPr>
                <w:rFonts w:ascii="Aptos" w:cs="Aptos" w:eastAsia="Aptos" w:hAnsi="Aptos"/>
                <w:sz w:val="18"/>
                <w:szCs w:val="18"/>
              </w:rPr>
              <w:t xml:space="preserve">Any dispute, disagreement, complaint, or claim arising out of or in connection with this transaction shall first be notified to the other party in writing by email to the contact email address stated in this document. Written notice shall be deemed delivered upon confirmation of receipt by the receiving party, or within 48 hours of sending to the email address stated in this document, whichever is earlier. It is the responsibility of each party to ensure their stated contact email address is active and monitored. The receiving party shall respond within ten (10) working days of deemed delivery and both parties shall make reasonable and good-faith efforts to resolve the matter amicably. Until the dispute is resolved, neither party shall publish or communicate any knowingly false, misleading, defamatory, threatening, or materially disparaging statement concerning the other party, the transaction, or the dispute on social media, review platforms, trade forums, industry groups, websites, or any other public or semi-public channel. Nothing in this clause shall restrict either party from making disclosures strictly required by law or from communicating with courts, arbitral tribunals, governmental authorities, regulators, customs authorities, insurers, banks, legal advisers, auditors, or other professional advisers, or from exercising any legal or contractual right or remedy. A party shall be responsible, to the extent permitted by applicable law, for public communications made by its employees, agents, representatives, or other persons acting on its behalf or with its authority. Any breach of this clause shall entitle the non-breaching party to seek removal or correction of the offending content and any other contractual or legal remedies available under applicable law. This clause shall survive completion or termination of the transaction. The restriction on false, misleading, defamatory, threatening, or materially disparaging communications shall continue indefinitely after resolution of any dispute and shall not expire.</w:t>
            </w:r>
          </w:p>
          <w:p>
            <w:pPr>
              <w:spacing w:after="80"/>
            </w:pPr>
            <w:r>
              <w:rPr>
                <w:rFonts w:ascii="Aptos" w:cs="Aptos" w:eastAsia="Aptos" w:hAnsi="Aptos"/>
                <w:b/>
                <w:bCs/>
                <w:sz w:val="18"/>
                <w:szCs w:val="18"/>
              </w:rPr>
              <w:t xml:space="preserve">• ACCEPTANCE &amp; ORDER OF PRECEDENCE: </w:t>
            </w:r>
            <w:r>
              <w:rPr>
                <w:rFonts w:ascii="Aptos" w:cs="Aptos" w:eastAsia="Aptos" w:hAnsi="Aptos"/>
                <w:sz w:val="18"/>
                <w:szCs w:val="18"/>
              </w:rPr>
              <w:t xml:space="preserve">This document, together with the commercial terms and conditions stated herein, constitutes the commercial basis of the transaction. Acceptance of this document, issuance of any purchase order in connection with this transaction, written confirmation of the order, or payment of any advance amount — whether in full or in part — shall each independently constitute acceptance of all terms and conditions stated in this document. Any term or condition contained in a buyer's purchase order or other document that conflicts with or varies from the terms stated herein shall not apply unless expressly accepted in writing by authorised representatives of NexaCrest International Private Limited.</w:t>
            </w:r>
          </w:p>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D0D8E4" w:sz="2"/>
              <w:bottom w:val="single" w:color="D0D8E4" w:sz="2"/>
              <w:right w:val="single" w:color="D0D8E4" w:sz="2"/>
            </w:tcBorders>
            <w:shd w:fill="F1F5F9" w:val="clear"/>
            <w:tcMar>
              <w:top w:type="dxa" w:w="80"/>
              <w:left w:type="dxa" w:w="180"/>
              <w:bottom w:type="dxa" w:w="80"/>
              <w:right w:type="dxa" w:w="180"/>
            </w:tcMar>
          </w:tcPr>
          <w:p>
            <w:r>
              <w:rPr>
                <w:rFonts w:ascii="Aptos" w:cs="Aptos" w:eastAsia="Aptos" w:hAnsi="Aptos"/>
                <w:i/>
                <w:iCs/>
                <w:color w:val="555555"/>
                <w:sz w:val="17"/>
                <w:szCs w:val="17"/>
              </w:rPr>
              <w:t xml:space="preserve">This Purchase Order form is prepared by NexaCrest International Private Limited for the exclusive use of the named buyer against Quotation No. [SC/QT/YYYY/DDMMNNN] only. It is not transferable and cannot be used with any other supplier. Any unauthorised use or modification of this document is prohibited.</w:t>
            </w:r>
          </w:p>
        </w:tc>
      </w:tr>
    </w:tbl>
    <w:sectPr>
      <w:pgSz w:w="11906" w:h="16838" w:orient="portrait"/>
      <w:pgMar w:top="720" w:right="850" w:bottom="7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e0a8049ebf87ef45b4bed6e0b3fe6819f6995b7.jpg"/><Relationship Id="rId8" Type="http://schemas.openxmlformats.org/officeDocument/2006/relationships/image" Target="media/a6c9f98c305a70a92153282adf23ac209510f448.png"/><Relationship Id="rId9" Type="http://schemas.openxmlformats.org/officeDocument/2006/relationships/image" Target="media/db9422367a69f1c25aa0f15d56ddf24a347470d7.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2026-09-17T06:44:30.101Z</dcterms:created>
  <dcterms:modified xsi:type="dcterms:W3CDTF">2026-09-17T06:44:30.101Z</dcterms:modified>
</cp:coreProperties>
</file>

<file path=docProps/custom.xml><?xml version="1.0" encoding="utf-8"?>
<Properties xmlns="http://schemas.openxmlformats.org/officeDocument/2006/custom-properties" xmlns:vt="http://schemas.openxmlformats.org/officeDocument/2006/docPropsVTypes"/>
</file>