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NEXACREST INTERNATIONAL PRIVATE LIMITED</w:t>
            </w:r>
          </w:p>
          <w:p>
            <w:r>
              <w:rPr>
                <w:rFonts w:ascii="Aptos" w:cs="Aptos" w:eastAsia="Aptos" w:hAnsi="Aptos"/>
                <w:b/>
                <w:bCs/>
                <w:color w:val="8A1F1F"/>
                <w:sz w:val="22"/>
                <w:szCs w:val="22"/>
              </w:rPr>
              <w:t xml:space="preserve">ANNEXURE A — PRODUCT TECHNICAL SPECIFICATIONS</w:t>
            </w:r>
          </w:p>
        </w:tc>
        <w:tc>
          <w:tcPr>
            <w:tcW w:type="dxa" w:w="4338"/>
            <w:tcBorders>
              <w:top w:val="none" w:color="FFFFFF" w:sz="0"/>
              <w:left w:val="none" w:color="FFFFFF" w:sz="0"/>
              <w:bottom w:val="none" w:color="FFFFFF" w:sz="0"/>
              <w:right w:val="none" w:color="FFFFFF" w:sz="0"/>
            </w:tcBorders>
          </w:tcPr>
          <w:p>
            <w:pPr>
              <w:jc w:val="right"/>
            </w:pPr>
            <w:r>
              <w:rPr>
                <w:rFonts w:ascii="Aptos" w:cs="Aptos" w:eastAsia="Aptos" w:hAnsi="Aptos"/>
                <w:color w:val="5B6573"/>
                <w:sz w:val="18"/>
                <w:szCs w:val="18"/>
              </w:rPr>
              <w:t xml:space="preserve">Quotation No.: SC/QT/YYYY/MMNNN</w:t>
            </w:r>
          </w:p>
          <w:p>
            <w:pPr>
              <w:jc w:val="right"/>
            </w:pPr>
            <w:r>
              <w:rPr>
                <w:rFonts w:ascii="Aptos" w:cs="Aptos" w:eastAsia="Aptos" w:hAnsi="Aptos"/>
                <w:i/>
                <w:iCs/>
                <w:color w:val="5B6573"/>
                <w:sz w:val="18"/>
                <w:szCs w:val="18"/>
              </w:rPr>
              <w:t xml:space="preserve">Annexure forms part of the Quotation above.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8A6D1D" w:sz="12" w:space="0"/>
              <w:bottom w:val="single" w:color="D0D8E4" w:sz="2"/>
              <w:right w:val="single" w:color="D0D8E4" w:sz="2"/>
            </w:tcBorders>
            <w:shd w:fill="FAEEDA" w:val="clear"/>
            <w:tcMar>
              <w:top w:type="dxa" w:w="80"/>
              <w:left w:type="dxa" w:w="180"/>
              <w:bottom w:type="dxa" w:w="80"/>
              <w:right w:type="dxa" w:w="180"/>
            </w:tcMar>
          </w:tcPr>
          <w:p>
            <w:r>
              <w:rPr>
                <w:rFonts w:ascii="Aptos" w:cs="Aptos" w:eastAsia="Aptos" w:hAnsi="Aptos"/>
                <w:b/>
                <w:bCs/>
                <w:color w:val="8A6D1D"/>
                <w:sz w:val="18"/>
                <w:szCs w:val="18"/>
              </w:rPr>
              <w:t xml:space="preserve">Note: </w:t>
            </w:r>
            <w:r>
              <w:rPr>
                <w:rFonts w:ascii="Aptos" w:cs="Aptos" w:eastAsia="Aptos" w:hAnsi="Aptos"/>
                <w:i/>
                <w:iCs/>
                <w:color w:val="633806"/>
                <w:sz w:val="18"/>
                <w:szCs w:val="18"/>
              </w:rPr>
              <w:t xml:space="preserve">Product images and drawings are for reference only and may show optional accessories or decorative elements not included in the quoted price. All binding specifications are as stated in each product section below. Actual product appearance may vary slightly due to the natural characteristics of granite.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PRODUCT 1 — European-Style Full Cover Grave Monument Set</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D0D8E4" w:sz="2"/>
              <w:left w:val="single" w:color="D0D8E4" w:sz="2"/>
              <w:bottom w:val="single" w:color="D0D8E4" w:sz="2"/>
              <w:right w:val="single" w:color="D0D8E4" w:sz="2"/>
            </w:tcBorders>
            <w:shd w:fill="000000" w:val="clear"/>
            <w:tcMar>
              <w:top w:type="dxa" w:w="60"/>
              <w:left w:type="dxa" w:w="60"/>
              <w:bottom w:type="dxa" w:w="60"/>
              <w:right w:type="dxa" w:w="60"/>
            </w:tcMar>
          </w:tcPr>
          <w:p>
            <w:pPr>
              <w:jc w:val="center"/>
            </w:pPr>
            <w:r>
              <w:drawing>
                <wp:inline distT="0" distB="0" distL="0" distR="0">
                  <wp:extent cx="190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2476500"/>
                          </a:xfrm>
                          <a:prstGeom prst="rect">
                            <a:avLst/>
                          </a:prstGeom>
                        </pic:spPr>
                      </pic:pic>
                    </a:graphicData>
                  </a:graphic>
                </wp:inline>
              </w:drawing>
            </w:r>
          </w:p>
        </w:tc>
        <w:tc>
          <w:tcPr>
            <w:tcW w:type="dxa" w:w="5783"/>
            <w:tcBorders>
              <w:top w:val="single" w:color="D0D8E4" w:sz="2"/>
              <w:left w:val="single" w:color="D0D8E4" w:sz="2"/>
              <w:bottom w:val="single" w:color="D0D8E4" w:sz="2"/>
              <w:right w:val="single" w:color="D0D8E4" w:sz="2"/>
            </w:tcBorders>
            <w:tcMar>
              <w:top w:type="dxa" w:w="120"/>
              <w:left w:type="dxa" w:w="180"/>
              <w:bottom w:type="dxa" w:w="120"/>
              <w:right w:type="dxa" w:w="160"/>
            </w:tcMar>
          </w:tcPr>
          <w:p>
            <w:pPr>
              <w:spacing w:after="60"/>
            </w:pPr>
            <w:r>
              <w:rPr>
                <w:rFonts w:ascii="Aptos" w:cs="Aptos" w:eastAsia="Aptos" w:hAnsi="Aptos"/>
                <w:b/>
                <w:bCs/>
                <w:color w:val="17233A"/>
                <w:sz w:val="19"/>
                <w:szCs w:val="19"/>
              </w:rPr>
              <w:t xml:space="preserve">Product Code: SCI-AB-MS-001</w:t>
            </w:r>
          </w:p>
          <w:p>
            <w:pPr>
              <w:spacing w:after="120"/>
            </w:pPr>
            <w:r>
              <w:rPr>
                <w:rFonts w:ascii="Aptos" w:cs="Aptos" w:eastAsia="Aptos" w:hAnsi="Aptos"/>
                <w:b/>
                <w:bCs/>
                <w:color w:val="17233A"/>
                <w:sz w:val="20"/>
                <w:szCs w:val="20"/>
              </w:rPr>
              <w:t xml:space="preserve">European-Style Full Cover Grave Monument Set</w:t>
            </w:r>
          </w:p>
          <w:p>
            <w:pPr>
              <w:spacing w:after="80"/>
            </w:pPr>
            <w:r>
              <w:rPr>
                <w:rFonts w:ascii="Aptos" w:cs="Aptos" w:eastAsia="Aptos" w:hAnsi="Aptos"/>
                <w:b/>
                <w:bCs/>
                <w:color w:val="17233A"/>
                <w:sz w:val="18"/>
                <w:szCs w:val="18"/>
              </w:rPr>
              <w:t xml:space="preserve">Material: </w:t>
            </w:r>
            <w:r>
              <w:rPr>
                <w:rFonts w:ascii="Aptos" w:cs="Aptos" w:eastAsia="Aptos" w:hAnsi="Aptos"/>
                <w:color w:val="1A1A1A"/>
                <w:sz w:val="18"/>
                <w:szCs w:val="18"/>
              </w:rPr>
              <w:t xml:space="preserve">Premium Grade-A Southern Indian Absolute Black Granite, 100% Natural, Un-dyed</w:t>
            </w:r>
          </w:p>
          <w:p>
            <w:pPr>
              <w:spacing w:after="80"/>
            </w:pPr>
            <w:r>
              <w:rPr>
                <w:rFonts w:ascii="Aptos" w:cs="Aptos" w:eastAsia="Aptos" w:hAnsi="Aptos"/>
                <w:b/>
                <w:bCs/>
                <w:color w:val="17233A"/>
                <w:sz w:val="18"/>
                <w:szCs w:val="18"/>
              </w:rPr>
              <w:t xml:space="preserve">Surface Finish: </w:t>
            </w:r>
            <w:r>
              <w:rPr>
                <w:rFonts w:ascii="Aptos" w:cs="Aptos" w:eastAsia="Aptos" w:hAnsi="Aptos"/>
                <w:color w:val="1A1A1A"/>
                <w:sz w:val="18"/>
                <w:szCs w:val="18"/>
              </w:rPr>
              <w:t xml:space="preserve">All visible faces mirror-polished to minimum 95+ gloss rating</w:t>
            </w:r>
          </w:p>
          <w:p>
            <w:pPr>
              <w:spacing w:after="80"/>
            </w:pPr>
            <w:r>
              <w:rPr>
                <w:rFonts w:ascii="Aptos" w:cs="Aptos" w:eastAsia="Aptos" w:hAnsi="Aptos"/>
                <w:b/>
                <w:bCs/>
                <w:color w:val="17233A"/>
                <w:sz w:val="18"/>
                <w:szCs w:val="18"/>
              </w:rPr>
              <w:t xml:space="preserve">HS Code: </w:t>
            </w:r>
            <w:r>
              <w:rPr>
                <w:rFonts w:ascii="Aptos" w:cs="Aptos" w:eastAsia="Aptos" w:hAnsi="Aptos"/>
                <w:color w:val="1A1A1A"/>
                <w:sz w:val="18"/>
                <w:szCs w:val="18"/>
              </w:rPr>
              <w:t xml:space="preserve">6802.93 — Worked Monumental Granite</w:t>
            </w:r>
          </w:p>
          <w:p>
            <w:pPr>
              <w:spacing w:after="80"/>
            </w:pPr>
            <w:r>
              <w:rPr>
                <w:rFonts w:ascii="Aptos" w:cs="Aptos" w:eastAsia="Aptos" w:hAnsi="Aptos"/>
                <w:b/>
                <w:bCs/>
                <w:color w:val="17233A"/>
                <w:sz w:val="18"/>
                <w:szCs w:val="18"/>
              </w:rPr>
              <w:t xml:space="preserve">Country of Origin: </w:t>
            </w:r>
            <w:r>
              <w:rPr>
                <w:rFonts w:ascii="Aptos" w:cs="Aptos" w:eastAsia="Aptos" w:hAnsi="Aptos"/>
                <w:color w:val="1A1A1A"/>
                <w:sz w:val="18"/>
                <w:szCs w:val="18"/>
              </w:rPr>
              <w:t xml:space="preserve">India</w:t>
            </w:r>
          </w:p>
          <w:p>
            <w:pPr>
              <w:spacing w:after="80"/>
            </w:pPr>
            <w:r>
              <w:rPr>
                <w:rFonts w:ascii="Aptos" w:cs="Aptos" w:eastAsia="Aptos" w:hAnsi="Aptos"/>
                <w:b/>
                <w:bCs/>
                <w:color w:val="17233A"/>
                <w:sz w:val="18"/>
                <w:szCs w:val="18"/>
              </w:rPr>
              <w:t xml:space="preserve">Total Net Volume: </w:t>
            </w:r>
            <w:r>
              <w:rPr>
                <w:rFonts w:ascii="Aptos" w:cs="Aptos" w:eastAsia="Aptos" w:hAnsi="Aptos"/>
                <w:color w:val="1A1A1A"/>
                <w:sz w:val="18"/>
                <w:szCs w:val="18"/>
              </w:rPr>
              <w:t xml:space="preserve">0.235 m³ (approx. — actuals confirmed on Packing List)</w:t>
            </w:r>
          </w:p>
          <w:p>
            <w:pPr>
              <w:spacing w:after="80"/>
            </w:pPr>
            <w:r>
              <w:rPr>
                <w:rFonts w:ascii="Aptos" w:cs="Aptos" w:eastAsia="Aptos" w:hAnsi="Aptos"/>
                <w:b/>
                <w:bCs/>
                <w:color w:val="17233A"/>
                <w:sz w:val="18"/>
                <w:szCs w:val="18"/>
              </w:rPr>
              <w:t xml:space="preserve">Includes: </w:t>
            </w:r>
            <w:r>
              <w:rPr>
                <w:rFonts w:ascii="Aptos" w:cs="Aptos" w:eastAsia="Aptos" w:hAnsi="Aptos"/>
                <w:color w:val="1A1A1A"/>
                <w:sz w:val="18"/>
                <w:szCs w:val="18"/>
              </w:rPr>
              <w:t xml:space="preserve">Monument frame, cover slab, headstone, base supports — complete set as per technical drawing</w:t>
            </w:r>
          </w:p>
        </w:tc>
      </w:tr>
    </w:tbl>
    <w:p>
      <w:pPr>
        <w:spacing w:after="160" w:before="0"/>
      </w:pPr>
    </w:p>
    <w:p>
      <w:pPr>
        <w:spacing w:after="80"/>
      </w:pPr>
      <w:r>
        <w:rPr>
          <w:rFonts w:ascii="Aptos" w:cs="Aptos" w:eastAsia="Aptos" w:hAnsi="Aptos"/>
          <w:b/>
          <w:bCs/>
          <w:color w:val="17233A"/>
          <w:sz w:val="19"/>
          <w:szCs w:val="19"/>
        </w:rPr>
        <w:t xml:space="preserve">Technical Drawing &amp; Component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D0D8E4" w:sz="2"/>
              <w:left w:val="single" w:color="D0D8E4" w:sz="2"/>
              <w:bottom w:val="single" w:color="D0D8E4" w:sz="2"/>
              <w:right w:val="single" w:color="D0D8E4" w:sz="2"/>
            </w:tcBorders>
            <w:shd w:fill="F8F9FA" w:val="clear"/>
            <w:tcMar>
              <w:top w:type="dxa" w:w="60"/>
              <w:left w:type="dxa" w:w="60"/>
              <w:bottom w:type="dxa" w:w="60"/>
              <w:right w:type="dxa" w:w="60"/>
            </w:tcMar>
          </w:tcPr>
          <w:p>
            <w:pPr>
              <w:jc w:val="center"/>
            </w:pPr>
            <w:r>
              <w:drawing>
                <wp:inline distT="0" distB="0" distL="0" distR="0">
                  <wp:extent cx="2286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905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spacing w:after="80"/>
            </w:pPr>
            <w:r>
              <w:rPr>
                <w:rFonts w:ascii="Aptos" w:cs="Aptos" w:eastAsia="Aptos" w:hAnsi="Aptos"/>
                <w:b/>
                <w:bCs/>
                <w:color w:val="17233A"/>
                <w:sz w:val="18"/>
                <w:szCs w:val="18"/>
              </w:rPr>
              <w:t xml:space="preserve">Component Dimensions</w:t>
            </w:r>
          </w:p>
          <w:tbl>
            <w:tblPr>
              <w:tblW w:type="dxa" w:w="4739"/>
              <w:tblBorders>
                <w:top w:val="single" w:color="auto" w:sz="4"/>
                <w:left w:val="single" w:color="auto" w:sz="4"/>
                <w:bottom w:val="single" w:color="auto" w:sz="4"/>
                <w:right w:val="single" w:color="auto" w:sz="4"/>
                <w:insideH w:val="single" w:color="auto" w:sz="4"/>
                <w:insideV w:val="single" w:color="auto" w:sz="4"/>
              </w:tblBorders>
            </w:tblPr>
            <w:tblGrid>
              <w:gridCol w:w="789"/>
              <w:gridCol w:w="789"/>
              <w:gridCol w:w="789"/>
              <w:gridCol w:w="789"/>
              <w:gridCol w:w="789"/>
              <w:gridCol w:w="789"/>
            </w:tblGrid>
            <w:tr>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Slab</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L (cm)</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W (cm)</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H (cm)</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Pcs</w:t>
                  </w:r>
                </w:p>
              </w:tc>
              <w:tc>
                <w:tcPr>
                  <w:tcW w:type="dxa" w:w="803"/>
                  <w:tcBorders>
                    <w:top w:val="single" w:color="D0D8E4" w:sz="2"/>
                    <w:left w:val="single" w:color="D0D8E4" w:sz="2"/>
                    <w:bottom w:val="single" w:color="D0D8E4" w:sz="2"/>
                    <w:right w:val="single" w:color="D0D8E4" w:sz="2"/>
                  </w:tcBorders>
                  <w:shd w:fill="173B73" w:val="clear"/>
                  <w:tcMar>
                    <w:top w:type="dxa" w:w="60"/>
                    <w:left w:type="dxa" w:w="60"/>
                    <w:bottom w:type="dxa" w:w="60"/>
                    <w:right w:type="dxa" w:w="60"/>
                  </w:tcMar>
                </w:tcPr>
                <w:p>
                  <w:pPr>
                    <w:jc w:val="center"/>
                  </w:pPr>
                  <w:r>
                    <w:rPr>
                      <w:rFonts w:ascii="Aptos" w:cs="Aptos" w:eastAsia="Aptos" w:hAnsi="Aptos"/>
                      <w:b/>
                      <w:bCs/>
                      <w:color w:val="FFFFFF"/>
                      <w:sz w:val="16"/>
                      <w:szCs w:val="16"/>
                    </w:rPr>
                    <w:t xml:space="preserve">m³</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A</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45</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6</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40</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0.011</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B</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80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17</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0.014</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C</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80</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178</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4</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0.057</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D</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102</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7</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0.014</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E</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193</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7</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20</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0.027</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F</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60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7</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0.008</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G</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110</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15</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0.007</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H</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100</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15</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0.006</w:t>
                  </w:r>
                </w:p>
              </w:tc>
            </w:tr>
            <w:tr>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J</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17</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11</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w:t>
                  </w:r>
                </w:p>
              </w:tc>
              <w:tc>
                <w:tcPr>
                  <w:tcW w:type="dxa" w:w="803"/>
                  <w:tcBorders>
                    <w:top w:val="single" w:color="D0D8E4" w:sz="2"/>
                    <w:left w:val="single" w:color="D0D8E4" w:sz="2"/>
                    <w:bottom w:val="single" w:color="D0D8E4" w:sz="2"/>
                    <w:right w:val="single" w:color="D0D8E4" w:sz="2"/>
                  </w:tcBorders>
                  <w:shd w:fill="F1F5F9"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0.004</w:t>
                  </w:r>
                </w:p>
              </w:tc>
            </w:tr>
            <w:tr>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K</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84</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24</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1</w:t>
                  </w:r>
                </w:p>
              </w:tc>
              <w:tc>
                <w:tcPr>
                  <w:tcW w:type="dxa" w:w="803"/>
                  <w:tcBorders>
                    <w:top w:val="single" w:color="D0D8E4" w:sz="2"/>
                    <w:left w:val="single" w:color="D0D8E4" w:sz="2"/>
                    <w:bottom w:val="single" w:color="D0D8E4" w:sz="2"/>
                    <w:right w:val="single" w:color="D0D8E4" w:sz="2"/>
                  </w:tcBorders>
                  <w:shd w:fill="FFFFFF" w:val="clear"/>
                  <w:tcMar>
                    <w:top w:type="dxa" w:w="60"/>
                    <w:left w:type="dxa" w:w="60"/>
                    <w:bottom w:type="dxa" w:w="60"/>
                    <w:right w:type="dxa" w:w="60"/>
                  </w:tcMar>
                </w:tcPr>
                <w:p>
                  <w:pPr>
                    <w:jc w:val="center"/>
                  </w:pPr>
                  <w:r>
                    <w:rPr>
                      <w:rFonts w:ascii="Aptos" w:cs="Aptos" w:eastAsia="Aptos" w:hAnsi="Aptos"/>
                      <w:b w:val="false"/>
                      <w:bCs w:val="false"/>
                      <w:color w:val="1A1A1A"/>
                      <w:sz w:val="16"/>
                      <w:szCs w:val="16"/>
                    </w:rPr>
                    <w:t xml:space="preserve">0.022</w:t>
                  </w:r>
                </w:p>
              </w:tc>
            </w:tr>
            <w:tr>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TOTAL</w:t>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14</w:t>
                  </w:r>
                </w:p>
              </w:tc>
              <w:tc>
                <w:tcPr>
                  <w:tcW w:type="dxa" w:w="803"/>
                  <w:tcBorders>
                    <w:top w:val="single" w:color="D0D8E4" w:sz="2"/>
                    <w:left w:val="single" w:color="D0D8E4" w:sz="2"/>
                    <w:bottom w:val="single" w:color="D0D8E4" w:sz="2"/>
                    <w:right w:val="single" w:color="D0D8E4" w:sz="2"/>
                  </w:tcBorders>
                  <w:shd w:fill="17233A" w:val="clear"/>
                  <w:tcMar>
                    <w:top w:type="dxa" w:w="60"/>
                    <w:left w:type="dxa" w:w="60"/>
                    <w:bottom w:type="dxa" w:w="60"/>
                    <w:right w:type="dxa" w:w="60"/>
                  </w:tcMar>
                </w:tcPr>
                <w:p>
                  <w:pPr>
                    <w:jc w:val="center"/>
                  </w:pPr>
                  <w:r>
                    <w:rPr>
                      <w:rFonts w:ascii="Aptos" w:cs="Aptos" w:eastAsia="Aptos" w:hAnsi="Aptos"/>
                      <w:b/>
                      <w:bCs/>
                      <w:color w:val="FFFFFF"/>
                      <w:sz w:val="16"/>
                      <w:szCs w:val="16"/>
                    </w:rPr>
                    <w:t xml:space="preserve">0.235</w:t>
                  </w:r>
                </w:p>
              </w:tc>
            </w:tr>
          </w:tbl>
          <w:p/>
        </w:tc>
      </w:tr>
    </w:tbl>
    <w:p>
      <w:pPr>
        <w:spacing w:after="2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PRODUCT 2 — Turned Memorial Flower Vase (Premium Relief Edition)</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3373"/>
            <w:tcBorders>
              <w:top w:val="single" w:color="D0D8E4" w:sz="2"/>
              <w:left w:val="single" w:color="D0D8E4" w:sz="2"/>
              <w:bottom w:val="single" w:color="D0D8E4" w:sz="2"/>
              <w:right w:val="single" w:color="D0D8E4" w:sz="2"/>
            </w:tcBorders>
            <w:shd w:fill="1A1A1A" w:val="clear"/>
            <w:tcMar>
              <w:top w:type="dxa" w:w="60"/>
              <w:left w:type="dxa" w:w="60"/>
              <w:bottom w:type="dxa" w:w="60"/>
              <w:right w:type="dxa" w:w="60"/>
            </w:tcMar>
          </w:tcPr>
          <w:p>
            <w:pPr>
              <w:jc w:val="center"/>
            </w:pPr>
            <w:r>
              <w:drawing>
                <wp:inline distT="0" distB="0" distL="0" distR="0">
                  <wp:extent cx="152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905000"/>
                          </a:xfrm>
                          <a:prstGeom prst="rect">
                            <a:avLst/>
                          </a:prstGeom>
                        </pic:spPr>
                      </pic:pic>
                    </a:graphicData>
                  </a:graphic>
                </wp:inline>
              </w:drawing>
            </w:r>
          </w:p>
        </w:tc>
        <w:tc>
          <w:tcPr>
            <w:tcW w:type="dxa" w:w="6265"/>
            <w:tcBorders>
              <w:top w:val="single" w:color="D0D8E4" w:sz="2"/>
              <w:left w:val="single" w:color="D0D8E4" w:sz="2"/>
              <w:bottom w:val="single" w:color="D0D8E4" w:sz="2"/>
              <w:right w:val="single" w:color="D0D8E4" w:sz="2"/>
            </w:tcBorders>
            <w:tcMar>
              <w:top w:type="dxa" w:w="120"/>
              <w:left w:type="dxa" w:w="180"/>
              <w:bottom w:type="dxa" w:w="120"/>
              <w:right w:type="dxa" w:w="160"/>
            </w:tcMar>
          </w:tcPr>
          <w:p>
            <w:pPr>
              <w:spacing w:after="60"/>
            </w:pPr>
            <w:r>
              <w:rPr>
                <w:rFonts w:ascii="Aptos" w:cs="Aptos" w:eastAsia="Aptos" w:hAnsi="Aptos"/>
                <w:b/>
                <w:bCs/>
                <w:color w:val="17233A"/>
                <w:sz w:val="19"/>
                <w:szCs w:val="19"/>
              </w:rPr>
              <w:t xml:space="preserve">Product Code: SCI-AB-MFV-001</w:t>
            </w:r>
          </w:p>
          <w:p>
            <w:pPr>
              <w:spacing w:after="120"/>
            </w:pPr>
            <w:r>
              <w:rPr>
                <w:rFonts w:ascii="Aptos" w:cs="Aptos" w:eastAsia="Aptos" w:hAnsi="Aptos"/>
                <w:b/>
                <w:bCs/>
                <w:color w:val="17233A"/>
                <w:sz w:val="20"/>
                <w:szCs w:val="20"/>
              </w:rPr>
              <w:t xml:space="preserve">Turned Memorial Flower Vase — Premium Relief Edition</w:t>
            </w:r>
          </w:p>
          <w:p>
            <w:pPr>
              <w:spacing w:after="80"/>
            </w:pPr>
            <w:r>
              <w:rPr>
                <w:rFonts w:ascii="Aptos" w:cs="Aptos" w:eastAsia="Aptos" w:hAnsi="Aptos"/>
                <w:b/>
                <w:bCs/>
                <w:color w:val="17233A"/>
                <w:sz w:val="18"/>
                <w:szCs w:val="18"/>
              </w:rPr>
              <w:t xml:space="preserve">Material: </w:t>
            </w:r>
            <w:r>
              <w:rPr>
                <w:rFonts w:ascii="Aptos" w:cs="Aptos" w:eastAsia="Aptos" w:hAnsi="Aptos"/>
                <w:color w:val="1A1A1A"/>
                <w:sz w:val="18"/>
                <w:szCs w:val="18"/>
              </w:rPr>
              <w:t xml:space="preserve">Premium Indian Absolute Black Granite, 100% Natural, Un-dyed</w:t>
            </w:r>
          </w:p>
          <w:p>
            <w:pPr>
              <w:spacing w:after="80"/>
            </w:pPr>
            <w:r>
              <w:rPr>
                <w:rFonts w:ascii="Aptos" w:cs="Aptos" w:eastAsia="Aptos" w:hAnsi="Aptos"/>
                <w:b/>
                <w:bCs/>
                <w:color w:val="17233A"/>
                <w:sz w:val="18"/>
                <w:szCs w:val="18"/>
              </w:rPr>
              <w:t xml:space="preserve">Artisan Work: </w:t>
            </w:r>
            <w:r>
              <w:rPr>
                <w:rFonts w:ascii="Aptos" w:cs="Aptos" w:eastAsia="Aptos" w:hAnsi="Aptos"/>
                <w:color w:val="1A1A1A"/>
                <w:sz w:val="18"/>
                <w:szCs w:val="18"/>
              </w:rPr>
              <w:t xml:space="preserve">Deep 3D hand-carved relief rose — each piece individually carved</w:t>
            </w:r>
          </w:p>
          <w:p>
            <w:pPr>
              <w:spacing w:after="80"/>
            </w:pPr>
            <w:r>
              <w:rPr>
                <w:rFonts w:ascii="Aptos" w:cs="Aptos" w:eastAsia="Aptos" w:hAnsi="Aptos"/>
                <w:b/>
                <w:bCs/>
                <w:color w:val="17233A"/>
                <w:sz w:val="18"/>
                <w:szCs w:val="18"/>
              </w:rPr>
              <w:t xml:space="preserve">Dimensions: </w:t>
            </w:r>
            <w:r>
              <w:rPr>
                <w:rFonts w:ascii="Aptos" w:cs="Aptos" w:eastAsia="Aptos" w:hAnsi="Aptos"/>
                <w:color w:val="1A1A1A"/>
                <w:sz w:val="18"/>
                <w:szCs w:val="18"/>
              </w:rPr>
              <w:t xml:space="preserve">Height: 25 cm  |  Diameter: 15 cm  |  Hole diameter: 9 cm</w:t>
            </w:r>
          </w:p>
          <w:p>
            <w:pPr>
              <w:spacing w:after="80"/>
            </w:pPr>
            <w:r>
              <w:rPr>
                <w:rFonts w:ascii="Aptos" w:cs="Aptos" w:eastAsia="Aptos" w:hAnsi="Aptos"/>
                <w:b/>
                <w:bCs/>
                <w:color w:val="17233A"/>
                <w:sz w:val="18"/>
                <w:szCs w:val="18"/>
              </w:rPr>
              <w:t xml:space="preserve">Surface Finish: </w:t>
            </w:r>
            <w:r>
              <w:rPr>
                <w:rFonts w:ascii="Aptos" w:cs="Aptos" w:eastAsia="Aptos" w:hAnsi="Aptos"/>
                <w:color w:val="1A1A1A"/>
                <w:sz w:val="18"/>
                <w:szCs w:val="18"/>
              </w:rPr>
              <w:t xml:space="preserve">Exterior: mirror-polished  |  Carved rose area: natural/rough contrast</w:t>
            </w:r>
          </w:p>
          <w:p>
            <w:pPr>
              <w:spacing w:after="80"/>
            </w:pPr>
            <w:r>
              <w:rPr>
                <w:rFonts w:ascii="Aptos" w:cs="Aptos" w:eastAsia="Aptos" w:hAnsi="Aptos"/>
                <w:b/>
                <w:bCs/>
                <w:color w:val="17233A"/>
                <w:sz w:val="18"/>
                <w:szCs w:val="18"/>
              </w:rPr>
              <w:t xml:space="preserve">HS Code: </w:t>
            </w:r>
            <w:r>
              <w:rPr>
                <w:rFonts w:ascii="Aptos" w:cs="Aptos" w:eastAsia="Aptos" w:hAnsi="Aptos"/>
                <w:color w:val="1A1A1A"/>
                <w:sz w:val="18"/>
                <w:szCs w:val="18"/>
              </w:rPr>
              <w:t xml:space="preserve">6802.93 — Worked Monumental Granite</w:t>
            </w:r>
          </w:p>
          <w:p>
            <w:pPr>
              <w:spacing w:after="80"/>
            </w:pPr>
            <w:r>
              <w:rPr>
                <w:rFonts w:ascii="Aptos" w:cs="Aptos" w:eastAsia="Aptos" w:hAnsi="Aptos"/>
                <w:b/>
                <w:bCs/>
                <w:color w:val="17233A"/>
                <w:sz w:val="18"/>
                <w:szCs w:val="18"/>
              </w:rPr>
              <w:t xml:space="preserve">Country of Origin: </w:t>
            </w:r>
            <w:r>
              <w:rPr>
                <w:rFonts w:ascii="Aptos" w:cs="Aptos" w:eastAsia="Aptos" w:hAnsi="Aptos"/>
                <w:color w:val="1A1A1A"/>
                <w:sz w:val="18"/>
                <w:szCs w:val="18"/>
              </w:rPr>
              <w:t xml:space="preserve">India</w:t>
            </w:r>
          </w:p>
          <w:p>
            <w:pPr>
              <w:spacing w:after="80"/>
            </w:pPr>
            <w:r>
              <w:rPr>
                <w:rFonts w:ascii="Aptos" w:cs="Aptos" w:eastAsia="Aptos" w:hAnsi="Aptos"/>
                <w:b/>
                <w:bCs/>
                <w:color w:val="17233A"/>
                <w:sz w:val="18"/>
                <w:szCs w:val="18"/>
              </w:rPr>
              <w:t xml:space="preserve">Note: </w:t>
            </w:r>
            <w:r>
              <w:rPr>
                <w:rFonts w:ascii="Aptos" w:cs="Aptos" w:eastAsia="Aptos" w:hAnsi="Aptos"/>
                <w:color w:val="1A1A1A"/>
                <w:sz w:val="18"/>
                <w:szCs w:val="18"/>
              </w:rPr>
              <w:t xml:space="preserve">Due to handcrafted nature, slight variation in rose carving pattern is natural and expected.</w:t>
            </w:r>
          </w:p>
        </w:tc>
      </w:tr>
    </w:tbl>
    <w:p>
      <w:pPr>
        <w:spacing w:after="2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D8E4" w:sz="2"/>
              <w:left w:val="single" w:color="17233A" w:sz="12" w:space="0"/>
              <w:bottom w:val="single" w:color="D0D8E4" w:sz="2"/>
              <w:right w:val="single" w:color="D0D8E4" w:sz="2"/>
            </w:tcBorders>
            <w:shd w:fill="E6F1FB" w:val="clear"/>
            <w:tcMar>
              <w:top w:type="dxa" w:w="100"/>
              <w:left w:type="dxa" w:w="180"/>
              <w:bottom w:type="dxa" w:w="100"/>
              <w:right w:type="dxa" w:w="180"/>
            </w:tcMar>
          </w:tcPr>
          <w:p>
            <w:r>
              <w:rPr>
                <w:rFonts w:ascii="Aptos" w:cs="Aptos" w:eastAsia="Aptos" w:hAnsi="Aptos"/>
                <w:b/>
                <w:bCs/>
                <w:color w:val="17233A"/>
                <w:sz w:val="18"/>
                <w:szCs w:val="18"/>
              </w:rPr>
              <w:t xml:space="preserve">This Annexure A forms an integral part of [Quotation No. SC/QT/YYYY/DDMMNNN / Proforma Invoice No. SC/PI/YYYY/DDMMNNN] dated [DD Month YYYY]. </w:t>
            </w:r>
            <w:r>
              <w:rPr>
                <w:rFonts w:ascii="Aptos" w:cs="Aptos" w:eastAsia="Aptos" w:hAnsi="Aptos"/>
                <w:i/>
                <w:iCs/>
                <w:color w:val="185FA5"/>
                <w:sz w:val="18"/>
                <w:szCs w:val="18"/>
              </w:rPr>
              <w:t xml:space="preserve">The commercial terms, pricing, payment conditions, and quantities stated in the main document take precedence in all cases. Product images and technical drawings in this annexure are for reference and identification purposes only. This Annexure is not valid as a standalone document.</w:t>
            </w:r>
          </w:p>
        </w:tc>
      </w:tr>
    </w:tbl>
    <w:p>
      <w:pPr>
        <w:spacing w:after="2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1143000"/>
                          </a:xfrm>
                          <a:prstGeom prst="rect">
                            <a:avLst/>
                          </a:prstGeom>
                        </pic:spPr>
                      </pic:pic>
                    </a:graphicData>
                  </a:graphic>
                </wp:inline>
              </w:drawing>
            </w:r>
          </w:p>
          <w:p>
            <w:pPr>
              <w:pBdr>
                <w:bottom w:val="single" w:color="CCCCCC"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789f28c27584cdab5abda97cbc84a19c9832a5.jpg"/><Relationship Id="rId8" Type="http://schemas.openxmlformats.org/officeDocument/2006/relationships/image" Target="media/8f6b9c4f6876575bf5a53bcca763ff47b811f727.jpg"/><Relationship Id="rId9" Type="http://schemas.openxmlformats.org/officeDocument/2006/relationships/image" Target="media/1aa8e62aeae25c9c344050111201d8e085c304cc.jpg"/><Relationship Id="rId10" Type="http://schemas.openxmlformats.org/officeDocument/2006/relationships/image" Target="media/169126f1dd7945989cde2303586403d6563d6424.png"/><Relationship Id="rId11" Type="http://schemas.openxmlformats.org/officeDocument/2006/relationships/image" Target="media/a6c9f98c305a70a92153282adf23ac209510f448.png"/><Relationship Id="rId12" Type="http://schemas.openxmlformats.org/officeDocument/2006/relationships/image" Target="media/db9422367a69f1c25aa0f15d56ddf24a347470d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2026-09-11T03:52:53.810Z</dcterms:created>
  <dcterms:modified xsi:type="dcterms:W3CDTF">2026-09-11T03:52:53.810Z</dcterms:modified>
</cp:coreProperties>
</file>

<file path=docProps/custom.xml><?xml version="1.0" encoding="utf-8"?>
<Properties xmlns="http://schemas.openxmlformats.org/officeDocument/2006/custom-properties" xmlns:vt="http://schemas.openxmlformats.org/officeDocument/2006/docPropsVTypes"/>
</file>