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60"/>
              <w:jc w:val="right"/>
            </w:pPr>
            <w:r>
              <w:rPr>
                <w:rFonts w:ascii="Aptos" w:cs="Aptos" w:eastAsia="Aptos" w:hAnsi="Aptos"/>
                <w:b/>
                <w:bCs/>
                <w:color w:val="17233A"/>
                <w:sz w:val="26"/>
                <w:szCs w:val="26"/>
              </w:rPr>
              <w:t xml:space="preserve">NEXACREST INTERNATIONAL PRIVATE LIMITED</w:t>
            </w:r>
          </w:p>
          <w:p>
            <w:pPr>
              <w:spacing w:after="40"/>
              <w:jc w:val="right"/>
            </w:pPr>
            <w:r>
              <w:rPr>
                <w:rFonts w:ascii="Aptos" w:cs="Aptos" w:eastAsia="Aptos" w:hAnsi="Aptos"/>
                <w:b/>
                <w:bCs/>
                <w:color w:val="17233A"/>
                <w:sz w:val="36"/>
                <w:szCs w:val="36"/>
              </w:rPr>
              <w:t xml:space="preserve">COO PREPARATION SHEET</w:t>
            </w:r>
          </w:p>
          <w:p>
            <w:pPr>
              <w:jc w:val="right"/>
            </w:pPr>
            <w:r>
              <w:rPr>
                <w:rFonts w:ascii="Aptos" w:cs="Aptos" w:eastAsia="Aptos" w:hAnsi="Aptos"/>
                <w:b/>
                <w:bCs/>
                <w:color w:val="5B6573"/>
                <w:sz w:val="20"/>
                <w:szCs w:val="20"/>
              </w:rPr>
              <w:t xml:space="preserve">CERTIFICATE OF ORIGIN — INTERNAL USE ONLY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1D6FA8" w:sz="12" w:space="0"/>
              <w:bottom w:val="single" w:color="D0D8E4" w:sz="2"/>
              <w:right w:val="single" w:color="D0D8E4" w:sz="2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ptos" w:cs="Aptos" w:eastAsia="Aptos" w:hAnsi="Aptos"/>
                <w:b/>
                <w:bCs/>
                <w:color w:val="042C53"/>
                <w:sz w:val="19"/>
                <w:szCs w:val="19"/>
              </w:rPr>
              <w:t xml:space="preserve">Internal use only — not sent to buyer. </w:t>
            </w:r>
            <w:r>
              <w:rPr>
                <w:rFonts w:ascii="Aptos" w:cs="Aptos" w:eastAsia="Aptos" w:hAnsi="Aptos"/>
                <w:i/>
                <w:iCs/>
                <w:color w:val="185FA5"/>
                <w:sz w:val="18"/>
                <w:szCs w:val="18"/>
              </w:rPr>
              <w:t xml:space="preserve">Complete this sheet before requesting COO from CAPEXIL. Hand to your CHA along with the documents listed below. COO is issued by CAPEXIL — not by NexaCrest.</w:t>
            </w:r>
          </w:p>
        </w:tc>
      </w:tr>
    </w:tbl>
    <w:p>
      <w:pPr>
        <w:spacing w:after="1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SHIPMENT REF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[SC/PI/YYYY/DDMMNNN]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DATE PREPARED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[DD Month YYYY]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COO TYPE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[GSP Form A  /  Non-preferential — as confirmed by buyer]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BUYER INQUIRY REF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[NC/SC/YYYY/DDMMNNN]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1. DOCUMENTS TO SUBMIT TO CAPEXIL / CHA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Aptos" w:cs="Aptos" w:eastAsia="Aptos" w:hAnsi="Aptos"/>
          <w:i/>
          <w:iCs/>
          <w:color w:val="5B6573"/>
          <w:sz w:val="18"/>
          <w:szCs w:val="18"/>
        </w:rPr>
        <w:t xml:space="preserve">Tick each item once collected and ready. Do not apply for COO until all mandatory items are ticked.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3138"/>
      </w:tblGrid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What to check before submitting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Where it comes from</w:t>
            </w:r>
          </w:p>
        </w:tc>
      </w:tr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Commercial Invoice (signed copy)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5B6573"/>
                <w:sz w:val="18"/>
                <w:szCs w:val="18"/>
              </w:rPr>
              <w:t xml:space="preserve">Must be signed and stamped. Values, HS code, buyer/seller details must be final — no estimates.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NexaCrest_05_CommercialInvoice.docx</w:t>
            </w:r>
          </w:p>
        </w:tc>
      </w:tr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Packing List (signed copy)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5B6573"/>
                <w:sz w:val="18"/>
                <w:szCs w:val="18"/>
              </w:rPr>
              <w:t xml:space="preserve">Crate count, weights, CBM must be actuals — not estimates from PI.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NexaCrest_04_PackingList.docx</w:t>
            </w:r>
          </w:p>
        </w:tc>
      </w:tr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Fumigation Certificate (copy)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5B6573"/>
                <w:sz w:val="18"/>
                <w:szCs w:val="18"/>
              </w:rPr>
              <w:t xml:space="preserve">Provided as standard with every NexaCrest shipment — collect from fumigation agency and include with COO application.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Fumigation agency — standard every shipment</w:t>
            </w:r>
          </w:p>
        </w:tc>
      </w:tr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Shipping Bill (copy)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5B6573"/>
                <w:sz w:val="18"/>
                <w:szCs w:val="18"/>
              </w:rPr>
              <w:t xml:space="preserve">Filed by CHA with Indian customs. CHA provides this — do not apply for COO before Shipping Bill is filed.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CHA provides after filing</w:t>
            </w:r>
          </w:p>
        </w:tc>
      </w:tr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Bill of Lading (copy)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5B6573"/>
                <w:sz w:val="18"/>
                <w:szCs w:val="18"/>
              </w:rPr>
              <w:t xml:space="preserve">BL number, date, vessel name, port of loading/discharge must match CI and PL exactly.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Shipping line / CHA provides</w:t>
            </w:r>
          </w:p>
        </w:tc>
      </w:tr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RCMC Certificate (copy)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5B6573"/>
                <w:sz w:val="18"/>
                <w:szCs w:val="18"/>
              </w:rPr>
              <w:t xml:space="preserve">NexaCrest RCMC issued by CAPEXIL — already obtained. Check validity date has not expired.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500A"/>
                <w:sz w:val="18"/>
                <w:szCs w:val="18"/>
              </w:rPr>
              <w:t xml:space="preserve">Already obtained — check validity</w:t>
            </w:r>
          </w:p>
        </w:tc>
      </w:tr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IEC Certificate (copy)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5B6573"/>
                <w:sz w:val="18"/>
                <w:szCs w:val="18"/>
              </w:rPr>
              <w:t xml:space="preserve">NexaCrest IEC — AAKCN8733G — already obtained.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500A"/>
                <w:sz w:val="18"/>
                <w:szCs w:val="18"/>
              </w:rPr>
              <w:t xml:space="preserve">Already obtained</w:t>
            </w:r>
          </w:p>
        </w:tc>
      </w:tr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GSP Declaration (if GSP Form A)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5B6573"/>
                <w:sz w:val="18"/>
                <w:szCs w:val="18"/>
              </w:rPr>
              <w:t xml:space="preserve">Self-declaration of origin criteria — required for GSP Form A only. CHA will advise the format.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Required for GSP Form A only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2. INFORMATION REQUIRED ON THE COO APPLICATION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Aptos" w:cs="Aptos" w:eastAsia="Aptos" w:hAnsi="Aptos"/>
          <w:i/>
          <w:iCs/>
          <w:color w:val="5B6573"/>
          <w:sz w:val="18"/>
          <w:szCs w:val="18"/>
        </w:rPr>
        <w:t xml:space="preserve">All values below must match the Commercial Invoice and Packing List exactly. Any mismatch causes rejection.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Value for this shipment *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document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Exporter — Legal Name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NexaCrest International Private Limited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Hardcoded — never changes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Exporter — Registered Address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No. 33, T Ramaiah Garden, 2 Hulimavu Village, Hulimavu, Bangalore South, Bengaluru, Karnataka – 560076, India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Hardcoded — never changes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Exporter — GSTIN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29AAKCN8733G1ZZ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Hardcoded — never changes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Exporter — IEC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AAKCN8733G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Hardcoded — never changes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Consignee — Legal Name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[Buyer company name — must match CI exactly]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Commercial Invoice Section 2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Consignee — Address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[Full buyer address including postcode — must match CI]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Commercial Invoice Section 2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Consignee — Country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[UK / France / Norway / Other]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Commercial Invoice Section 2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Vessel Name &amp; Voyage No.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[From BL — e.g., MSC ANNA / V.2026-001]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Bill of Lading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Port of Loading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Chennai, India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Hardcoded — never changes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Port of Discharge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[From BL — e.g., Tilbury, UK / Marseille, France]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Bill of Lading / Commercial Invoice Section 3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Bill of Lading No.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[From shipping line — e.g., MEDUB123456]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Bill of Lading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Bill of Lading Date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[Same as CI date — DD Month YYYY]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Bill of Lading / Commercial Invoice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Product Description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[e.g., Absolute Black Granite Memorial Monument, Mirror Polished — as on CI]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Commercial Invoice Section 4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HS Code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6802.93 (Worked Monumental Granite)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Hardcoded — verify against CI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Country of Origin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India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Hardcoded — never changes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No. of Packages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[e.g., 10 Wooden Crates — must match PL and BL exactly]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Packing List Section 3 / BL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Gross Weight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[e.g., 24,500 kg — actual from Packing List]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Packing List Section 3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Net Weight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[e.g., 22,000 kg — actual from Packing List]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Packing List Section 3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Total CBM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[e.g., 10.08 m³ — actual from Packing List]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Packing List Section 3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FOB Value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[USD XXXXX.XX — must match CI FOB Value exactly]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Commercial Invoice Section 4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Invoice No. &amp; Date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[CI/YYYY/MMNNN — DD Month YYYY]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Commercial Invoice meta bar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Origin Criteria (GSP Form A only)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[Usually 'P' for wholly produced, or 'W/6802.93' for worked in India — CHA advises]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Required for GSP Form A only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Competent Authority Signature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Signed and stamped by CAPEXIL authorised officer — not by NexaCrest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CAPEXIL issues — not your responsibility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3. STEP-BY-STEP PROCESS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Step 1</w:t>
            </w:r>
          </w:p>
        </w:tc>
        <w:tc>
          <w:tcPr>
            <w:tcW w:type="dxa" w:w="87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Confirm COO type with buyer (GSP Form A or non-preferential) — ideally at Quotation/PI stage.</w:t>
            </w:r>
          </w:p>
        </w:tc>
      </w:tr>
      <w:tr>
        <w:tc>
          <w:tcPr>
            <w:tcW w:type="dxa" w:w="9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Step 2</w:t>
            </w:r>
          </w:p>
        </w:tc>
        <w:tc>
          <w:tcPr>
            <w:tcW w:type="dxa" w:w="87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Cargo packed. Packing List finalised with actuals. CHA files Shipping Bill with customs.</w:t>
            </w:r>
          </w:p>
        </w:tc>
      </w:tr>
      <w:tr>
        <w:tc>
          <w:tcPr>
            <w:tcW w:type="dxa" w:w="9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Step 3</w:t>
            </w:r>
          </w:p>
        </w:tc>
        <w:tc>
          <w:tcPr>
            <w:tcW w:type="dxa" w:w="87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Shipment booked. Bill of Lading issued by shipping line.</w:t>
            </w:r>
          </w:p>
        </w:tc>
      </w:tr>
      <w:tr>
        <w:tc>
          <w:tcPr>
            <w:tcW w:type="dxa" w:w="9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Step 4</w:t>
            </w:r>
          </w:p>
        </w:tc>
        <w:tc>
          <w:tcPr>
            <w:tcW w:type="dxa" w:w="87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Complete this preparation sheet — fill Section 2 values from CI, PL, and BL.</w:t>
            </w:r>
          </w:p>
        </w:tc>
      </w:tr>
      <w:tr>
        <w:tc>
          <w:tcPr>
            <w:tcW w:type="dxa" w:w="9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Step 5</w:t>
            </w:r>
          </w:p>
        </w:tc>
        <w:tc>
          <w:tcPr>
            <w:tcW w:type="dxa" w:w="87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Collect all documents listed in Section 1. Tick each checkbox.</w:t>
            </w:r>
          </w:p>
        </w:tc>
      </w:tr>
      <w:tr>
        <w:tc>
          <w:tcPr>
            <w:tcW w:type="dxa" w:w="9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Step 6</w:t>
            </w:r>
          </w:p>
        </w:tc>
        <w:tc>
          <w:tcPr>
            <w:tcW w:type="dxa" w:w="87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Submit complete package to CHA — or apply directly on CAPEXIL portal (www.capexil.com). CHA handles this in most cases.</w:t>
            </w:r>
          </w:p>
        </w:tc>
      </w:tr>
      <w:tr>
        <w:tc>
          <w:tcPr>
            <w:tcW w:type="dxa" w:w="9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Step 7</w:t>
            </w:r>
          </w:p>
        </w:tc>
        <w:tc>
          <w:tcPr>
            <w:tcW w:type="dxa" w:w="87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CAPEXIL verifies and issues COO — typically 1–3 working days.</w:t>
            </w:r>
          </w:p>
        </w:tc>
      </w:tr>
      <w:tr>
        <w:tc>
          <w:tcPr>
            <w:tcW w:type="dxa" w:w="9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Step 8</w:t>
            </w:r>
          </w:p>
        </w:tc>
        <w:tc>
          <w:tcPr>
            <w:tcW w:type="dxa" w:w="87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COO received. Include with shipment documents sent to buyer (along with CI, PL, BL).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4. NEXACREST CAPEXIL REGISTRATION DETAILS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Prepared By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[Name of person completing this sheet]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RCMC Issuing Body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CAPEXIL — Chemicals and Allied Products Export Promotion Council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Member Company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NexaCrest International Private Limited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IEC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AAKCN8733G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RCMC Number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[Your RCMC number — from RCMC certificate]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RCMC Valid Until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[Check RCMC certificate for expiry date — renew before expiry]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CAPEXIL Portal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www.capexil.com — COO applications can be submitted online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CAPEXIL Office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Chennai Regional Office handles granite/stone exporters from Karnataka — confirm with CHA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8A6D1D" w:sz="12" w:space="0"/>
              <w:bottom w:val="single" w:color="D0D8E4" w:sz="2"/>
              <w:right w:val="single" w:color="D0D8E4" w:sz="2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ptos" w:cs="Aptos" w:eastAsia="Aptos" w:hAnsi="Aptos"/>
                <w:b/>
                <w:bCs/>
                <w:color w:val="8A6D1D"/>
                <w:sz w:val="19"/>
                <w:szCs w:val="19"/>
              </w:rPr>
              <w:t xml:space="preserve">⚠ Annual renewal: </w:t>
            </w:r>
            <w:r>
              <w:rPr>
                <w:rFonts w:ascii="Aptos" w:cs="Aptos" w:eastAsia="Aptos" w:hAnsi="Aptos"/>
                <w:color w:val="633806"/>
                <w:sz w:val="18"/>
                <w:szCs w:val="18"/>
              </w:rPr>
              <w:t xml:space="preserve">RCMC must be renewed annually. If RCMC expires, CAPEXIL cannot issue a COO — your shipment documents will be incomplete and customs clearance will fail. Set a reminder 60 days before expiry.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0a8049ebf87ef45b4bed6e0b3fe6819f6995b7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2026-09-11T03:52:52.328Z</dcterms:created>
  <dcterms:modified xsi:type="dcterms:W3CDTF">2026-09-11T03:52:52.328Z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