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5"/>
        <w:gridCol w:w="8193"/>
      </w:tblGrid>
      <w:tr>
        <w:tc>
          <w:tcPr>
            <w:tcW w:type="dxa" w:w="14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ptos" w:cs="Aptos" w:eastAsia="Aptos" w:hAnsi="Aptos"/>
                <w:b/>
                <w:bCs/>
                <w:color w:val="17233A"/>
                <w:sz w:val="22"/>
                <w:szCs w:val="22"/>
              </w:rPr>
              <w:t xml:space="preserve">NEXACREST INTERNATIONAL PRIVATE LIMITED</w:t>
            </w:r>
          </w:p>
          <w:p>
            <w:pPr>
              <w:spacing w:after="20"/>
              <w:jc w:val="right"/>
            </w:pPr>
            <w:r>
              <w:rPr>
                <w:rFonts w:ascii="Aptos" w:cs="Aptos" w:eastAsia="Aptos" w:hAnsi="Aptos"/>
                <w:b/>
                <w:bCs/>
                <w:color w:val="1A4A08"/>
                <w:sz w:val="26"/>
                <w:szCs w:val="26"/>
              </w:rPr>
              <w:t xml:space="preserve">PURCHASE ORDER — MATERIAL PROCUREMENT</w:t>
            </w:r>
          </w:p>
          <w:p>
            <w:pPr>
              <w:jc w:val="right"/>
            </w:pPr>
            <w:r>
              <w:rPr>
                <w:rFonts w:ascii="Aptos" w:cs="Aptos" w:eastAsia="Aptos" w:hAnsi="Aptos"/>
                <w:i/>
                <w:iCs/>
                <w:color w:val="2D7D56"/>
                <w:sz w:val="18"/>
                <w:szCs w:val="18"/>
              </w:rPr>
              <w:t xml:space="preserve">Issued to Supplier for Signature and Return</w:t>
            </w:r>
          </w:p>
        </w:tc>
      </w:tr>
    </w:tbl>
    <w:p>
      <w:pPr>
        <w:spacing w:after="80" w:before="0"/>
      </w:pPr>
    </w:p>
    <w:p>
      <w:r>
        <w:rPr>
          <w:rFonts w:ascii="Aptos" w:cs="Aptos" w:eastAsia="Aptos" w:hAnsi="Aptos"/>
          <w:i/>
          <w:iCs/>
          <w:color w:val="555555"/>
          <w:sz w:val="18"/>
          <w:szCs w:val="18"/>
        </w:rPr>
        <w:t xml:space="preserve">This Purchase Order is issued by NexaCrest International Private Limited to the named supplier for material procurement. </w:t>
      </w:r>
      <w:r>
        <w:rPr>
          <w:rFonts w:ascii="Aptos" w:cs="Aptos" w:eastAsia="Aptos" w:hAnsi="Aptos"/>
          <w:i/>
          <w:iCs/>
          <w:color w:val="555555"/>
          <w:sz w:val="18"/>
          <w:szCs w:val="18"/>
        </w:rPr>
        <w:t xml:space="preserve">Supplier fills Section 4 only. All other sections are issued by NexaCrest.</w:t>
      </w:r>
    </w:p>
    <w:p>
      <w:pPr>
        <w:spacing w:after="1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aps/>
                <w:color w:val="5B6573"/>
                <w:sz w:val="16"/>
                <w:szCs w:val="16"/>
              </w:rPr>
              <w:t xml:space="preserve">PO NUMBER *</w:t>
            </w:r>
          </w:p>
          <w:p>
            <w:r>
              <w:rPr>
                <w:rFonts w:ascii="Aptos" w:cs="Aptos" w:eastAsia="Aptos" w:hAnsi="Aptos"/>
                <w:b/>
                <w:bCs/>
                <w:color w:val="17233A"/>
                <w:sz w:val="20"/>
                <w:szCs w:val="20"/>
              </w:rPr>
              <w:t xml:space="preserve">[SC/SPO/YYYY/DDMMNNN Rev.00]</w:t>
            </w:r>
          </w:p>
        </w:tc>
        <w:tc>
          <w:tcPr>
            <w:tcW w:type="dxa" w:w="2409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aps/>
                <w:color w:val="5B6573"/>
                <w:sz w:val="16"/>
                <w:szCs w:val="16"/>
              </w:rPr>
              <w:t xml:space="preserve">DATE *</w:t>
            </w:r>
          </w:p>
          <w:p>
            <w:r>
              <w:rPr>
                <w:rFonts w:ascii="Aptos" w:cs="Aptos" w:eastAsia="Aptos" w:hAnsi="Aptos"/>
                <w:b/>
                <w:bCs/>
                <w:color w:val="17233A"/>
                <w:sz w:val="20"/>
                <w:szCs w:val="20"/>
              </w:rPr>
              <w:t xml:space="preserve">[DD Month YYYY]</w:t>
            </w:r>
          </w:p>
        </w:tc>
        <w:tc>
          <w:tcPr>
            <w:tcW w:type="dxa" w:w="2409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aps/>
                <w:color w:val="5B6573"/>
                <w:sz w:val="16"/>
                <w:szCs w:val="16"/>
              </w:rPr>
              <w:t xml:space="preserve">BUYER ORDER REF *</w:t>
            </w:r>
          </w:p>
          <w:p>
            <w:r>
              <w:rPr>
                <w:rFonts w:ascii="Aptos" w:cs="Aptos" w:eastAsia="Aptos" w:hAnsi="Aptos"/>
                <w:b/>
                <w:bCs/>
                <w:color w:val="17233A"/>
                <w:sz w:val="20"/>
                <w:szCs w:val="20"/>
              </w:rPr>
              <w:t xml:space="preserve">[NC/SC/YYYY/DDMMNNN — Buyer Inquiry REF]</w:t>
            </w:r>
          </w:p>
        </w:tc>
        <w:tc>
          <w:tcPr>
            <w:tcW w:type="dxa" w:w="2409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aps/>
                <w:color w:val="5B6573"/>
                <w:sz w:val="16"/>
                <w:szCs w:val="16"/>
              </w:rPr>
              <w:t xml:space="preserve">EXPORT ORDER REF *</w:t>
            </w:r>
          </w:p>
          <w:p>
            <w:r>
              <w:rPr>
                <w:rFonts w:ascii="Aptos" w:cs="Aptos" w:eastAsia="Aptos" w:hAnsi="Aptos"/>
                <w:b/>
                <w:bCs/>
                <w:color w:val="17233A"/>
                <w:sz w:val="20"/>
                <w:szCs w:val="20"/>
              </w:rPr>
              <w:t xml:space="preserve">[SC/PI/YYYY/DDMMNNN — or SC/QT if pre-PI]</w:t>
            </w:r>
          </w:p>
        </w:tc>
      </w:tr>
    </w:tbl>
    <w:p>
      <w:pPr>
        <w:spacing w:after="2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3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1. BUYER  (NexaCrest International Private Limited)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Company / Legal Entity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NexaCrest International Private Limited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Registered Office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No. 33, T Ramaiah Garden, 2 Hulimavu Village, Hulimavu,
Bangalore South, Bengaluru, Karnataka – 560076, India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Corporate Office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Evolve Work Studio, 4th Floor, The Hub @ Raj Serenity,
Khatha No. 10, Begur Koppa Road, Yelenahalli,
Bengaluru – 560068, Karnataka, India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GSTIN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29AAKCN8733G1ZZ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IEC / PAN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19"/>
                <w:szCs w:val="19"/>
              </w:rPr>
              <w:t xml:space="preserve">AAKCN8733G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Contact Person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19"/>
                <w:szCs w:val="19"/>
              </w:rPr>
              <w:t xml:space="preserve">Gulmohar Sontakke — Founder &amp; Managing Director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Phone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+91-7676463030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Email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gulmohar.sontakke@nexacrestinternational.com</w:t>
            </w:r>
          </w:p>
        </w:tc>
      </w:tr>
    </w:tbl>
    <w:p>
      <w:pPr>
        <w:spacing w:after="2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3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2. SUPPLIER DETAILS  (Pre-filled by NexaCrest)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Supplier Legal Name *</w:t>
            </w:r>
            <w:r>
              <w:rPr>
                <w:rFonts w:ascii="Aptos" w:cs="Aptos" w:eastAsia="Aptos" w:hAnsi="Aptos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[Exact legal name of quarry / processor / supplier]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Address *</w:t>
            </w:r>
            <w:r>
              <w:rPr>
                <w:rFonts w:ascii="Aptos" w:cs="Aptos" w:eastAsia="Aptos" w:hAnsi="Aptos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[Full address including city, state, pincode]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GSTIN *</w:t>
            </w:r>
            <w:r>
              <w:rPr>
                <w:rFonts w:ascii="Aptos" w:cs="Aptos" w:eastAsia="Aptos" w:hAnsi="Aptos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[Supplier GSTIN — mandatory for GST input credit]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PAN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[Supplier PAN]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Contact Person *</w:t>
            </w:r>
            <w:r>
              <w:rPr>
                <w:rFonts w:ascii="Aptos" w:cs="Aptos" w:eastAsia="Aptos" w:hAnsi="Aptos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[Name of contact at supplier]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Phone *</w:t>
            </w:r>
            <w:r>
              <w:rPr>
                <w:rFonts w:ascii="Aptos" w:cs="Aptos" w:eastAsia="Aptos" w:hAnsi="Aptos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[+91 XXXXXXXXXX]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Supplier Type *</w:t>
            </w:r>
            <w:r>
              <w:rPr>
                <w:rFonts w:ascii="Aptos" w:cs="Aptos" w:eastAsia="Aptos" w:hAnsi="Aptos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[Quarry owner / Processor / Trader]</w:t>
            </w:r>
          </w:p>
        </w:tc>
      </w:tr>
    </w:tbl>
    <w:p>
      <w:pPr>
        <w:spacing w:after="2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3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3. MATERIAL SPECIFICATIONS  (All fields mandatory — no exceptions)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8E4" w:sz="2"/>
              <w:left w:val="single" w:color="8A1F1F" w:sz="14"/>
              <w:bottom w:val="single" w:color="D0D8E4" w:sz="2"/>
              <w:right w:val="single" w:color="D0D8E4" w:sz="2"/>
            </w:tcBorders>
            <w:shd w:fill="FBEAE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ptos" w:cs="Aptos" w:eastAsia="Aptos" w:hAnsi="Aptos"/>
                <w:b/>
                <w:bCs/>
                <w:color w:val="8A1F1F"/>
                <w:sz w:val="18"/>
                <w:szCs w:val="18"/>
              </w:rPr>
              <w:t xml:space="preserve">⚠  All specifications below are binding. </w:t>
            </w:r>
            <w:r>
              <w:rPr>
                <w:rFonts w:ascii="Aptos" w:cs="Aptos" w:eastAsia="Aptos" w:hAnsi="Aptos"/>
                <w:color w:val="5A1414"/>
                <w:sz w:val="18"/>
                <w:szCs w:val="18"/>
              </w:rPr>
              <w:t xml:space="preserve">Material that does not conform exactly to the specifications below will be rejected at NexaCrest’s discretion. Replacement is at supplier’s cost.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Material / Stone Type *</w:t>
            </w:r>
            <w:r>
              <w:rPr>
                <w:rFonts w:ascii="Aptos" w:cs="Aptos" w:eastAsia="Aptos" w:hAnsi="Aptos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[e.g., Absolute Black Granite / Tan Brown Granite / Viscon White Granite]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Grade *</w:t>
            </w:r>
            <w:r>
              <w:rPr>
                <w:rFonts w:ascii="Aptos" w:cs="Aptos" w:eastAsia="Aptos" w:hAnsi="Aptos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Grade A only — no mixed grades, no seconds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Surface Finish *</w:t>
            </w:r>
            <w:r>
              <w:rPr>
                <w:rFonts w:ascii="Aptos" w:cs="Aptos" w:eastAsia="Aptos" w:hAnsi="Aptos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[e.g., Mirror Polished both sides / Flamed / Raw / Unpolished]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Dimensions *</w:t>
            </w:r>
            <w:r>
              <w:rPr>
                <w:rFonts w:ascii="Aptos" w:cs="Aptos" w:eastAsia="Aptos" w:hAnsi="Aptos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[L × W × H cm — exact. e.g., 60×60×2 cm]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Dimensional Tolerance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±2 mm on L and W  |  ±0.5 mm on thickness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Quantity *</w:t>
            </w:r>
            <w:r>
              <w:rPr>
                <w:rFonts w:ascii="Aptos" w:cs="Aptos" w:eastAsia="Aptos" w:hAnsi="Aptos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[Exact quantity — e.g., 420 m² / 20 pcs / 10 sets]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Unit *</w:t>
            </w:r>
            <w:r>
              <w:rPr>
                <w:rFonts w:ascii="Aptos" w:cs="Aptos" w:eastAsia="Aptos" w:hAnsi="Aptos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[m² / pcs / sets / blocks / kg]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Colour Reference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[If colour matching required — reference previous batch / sample. Write NIL if new order.]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Special Requirements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[e.g., CNC cutting / specific edge profile / hand carving. Write NIL if none.]</w:t>
            </w:r>
          </w:p>
        </w:tc>
      </w:tr>
    </w:tbl>
    <w:p>
      <w:pPr>
        <w:spacing w:after="2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3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4. COMMERCIAL TERMS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3662"/>
        <w:gridCol w:w="2314"/>
      </w:tblGrid>
      <w:tr>
        <w:tc>
          <w:tcPr>
            <w:tcW w:type="dxa" w:w="3662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1A4A0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662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Amount (INR)</w:t>
            </w:r>
          </w:p>
        </w:tc>
        <w:tc>
          <w:tcPr>
            <w:tcW w:type="dxa" w:w="2314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ptos" w:cs="Aptos" w:eastAsia="Aptos" w:hAnsi="Aptos"/>
                <w:i/>
                <w:iCs/>
                <w:color w:val="555555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662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7233A"/>
                <w:sz w:val="18"/>
                <w:szCs w:val="18"/>
              </w:rPr>
              <w:t xml:space="preserve">Unit Price (INR) *</w:t>
            </w:r>
          </w:p>
        </w:tc>
        <w:tc>
          <w:tcPr>
            <w:tcW w:type="dxa" w:w="3662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[INR XXXXX per unit / m²]  *</w:t>
            </w:r>
          </w:p>
        </w:tc>
        <w:tc>
          <w:tcPr>
            <w:tcW w:type="dxa" w:w="2314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ptos" w:cs="Aptos" w:eastAsia="Aptos" w:hAnsi="Aptos"/>
                <w:i/>
                <w:iCs/>
                <w:color w:val="555555"/>
                <w:sz w:val="16"/>
                <w:szCs w:val="16"/>
              </w:rPr>
              <w:t xml:space="preserve">Rate as agreed</w:t>
            </w:r>
          </w:p>
        </w:tc>
      </w:tr>
      <w:tr>
        <w:tc>
          <w:tcPr>
            <w:tcW w:type="dxa" w:w="3662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7233A"/>
                <w:sz w:val="18"/>
                <w:szCs w:val="18"/>
              </w:rPr>
              <w:t xml:space="preserve">Quantity *</w:t>
            </w:r>
          </w:p>
        </w:tc>
        <w:tc>
          <w:tcPr>
            <w:tcW w:type="dxa" w:w="3662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[As per Section 3]  *</w:t>
            </w:r>
          </w:p>
        </w:tc>
        <w:tc>
          <w:tcPr>
            <w:tcW w:type="dxa" w:w="2314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ptos" w:cs="Aptos" w:eastAsia="Aptos" w:hAnsi="Aptos"/>
                <w:i/>
                <w:iCs/>
                <w:color w:val="555555"/>
                <w:sz w:val="16"/>
                <w:szCs w:val="16"/>
              </w:rPr>
              <w:t xml:space="preserve">Must match Section 3 exactly</w:t>
            </w:r>
          </w:p>
        </w:tc>
      </w:tr>
      <w:tr>
        <w:tc>
          <w:tcPr>
            <w:tcW w:type="dxa" w:w="3662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7233A"/>
                <w:sz w:val="18"/>
                <w:szCs w:val="18"/>
              </w:rPr>
              <w:t xml:space="preserve">Basic Value *</w:t>
            </w:r>
          </w:p>
        </w:tc>
        <w:tc>
          <w:tcPr>
            <w:tcW w:type="dxa" w:w="3662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[INR XXXXXXXX]  *</w:t>
            </w:r>
          </w:p>
        </w:tc>
        <w:tc>
          <w:tcPr>
            <w:tcW w:type="dxa" w:w="2314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ptos" w:cs="Aptos" w:eastAsia="Aptos" w:hAnsi="Aptos"/>
                <w:i/>
                <w:iCs/>
                <w:color w:val="555555"/>
                <w:sz w:val="16"/>
                <w:szCs w:val="16"/>
              </w:rPr>
              <w:t xml:space="preserve">Unit Price × Quantity</w:t>
            </w:r>
          </w:p>
        </w:tc>
      </w:tr>
      <w:tr>
        <w:tc>
          <w:tcPr>
            <w:tcW w:type="dxa" w:w="3662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7233A"/>
                <w:sz w:val="18"/>
                <w:szCs w:val="18"/>
              </w:rPr>
              <w:t xml:space="preserve">GST *</w:t>
            </w:r>
          </w:p>
        </w:tc>
        <w:tc>
          <w:tcPr>
            <w:tcW w:type="dxa" w:w="3662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[X% — INR XXXXX]  *</w:t>
            </w:r>
          </w:p>
        </w:tc>
        <w:tc>
          <w:tcPr>
            <w:tcW w:type="dxa" w:w="2314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ptos" w:cs="Aptos" w:eastAsia="Aptos" w:hAnsi="Aptos"/>
                <w:i/>
                <w:iCs/>
                <w:color w:val="555555"/>
                <w:sz w:val="16"/>
                <w:szCs w:val="16"/>
              </w:rPr>
              <w:t xml:space="preserve">CGST + SGST (intrastate) OR IGST (interstate)</w:t>
            </w:r>
          </w:p>
        </w:tc>
      </w:tr>
      <w:tr>
        <w:tc>
          <w:tcPr>
            <w:tcW w:type="dxa" w:w="3662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8"/>
                <w:szCs w:val="18"/>
              </w:rPr>
              <w:t xml:space="preserve">TOTAL PAYABLE *</w:t>
            </w:r>
          </w:p>
        </w:tc>
        <w:tc>
          <w:tcPr>
            <w:tcW w:type="dxa" w:w="3662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ptos" w:cs="Aptos" w:eastAsia="Aptos" w:hAnsi="Aptos"/>
                <w:b/>
                <w:bCs/>
                <w:color w:val="8A1F1F"/>
                <w:sz w:val="18"/>
                <w:szCs w:val="18"/>
              </w:rPr>
              <w:t xml:space="preserve">[INR XXXXXXXX]  *</w:t>
            </w:r>
          </w:p>
        </w:tc>
        <w:tc>
          <w:tcPr>
            <w:tcW w:type="dxa" w:w="2314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ptos" w:cs="Aptos" w:eastAsia="Aptos" w:hAnsi="Aptos"/>
                <w:i/>
                <w:iCs/>
                <w:color w:val="555555"/>
                <w:sz w:val="16"/>
                <w:szCs w:val="16"/>
              </w:rPr>
              <w:t xml:space="preserve">Basic Value + GST</w:t>
            </w:r>
          </w:p>
        </w:tc>
      </w:tr>
      <w:tr>
        <w:tc>
          <w:tcPr>
            <w:tcW w:type="dxa" w:w="3662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7233A"/>
                <w:sz w:val="18"/>
                <w:szCs w:val="18"/>
              </w:rPr>
              <w:t xml:space="preserve">Advance (X%) *</w:t>
            </w:r>
          </w:p>
        </w:tc>
        <w:tc>
          <w:tcPr>
            <w:tcW w:type="dxa" w:w="3662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[INR XXXXX]  *</w:t>
            </w:r>
          </w:p>
        </w:tc>
        <w:tc>
          <w:tcPr>
            <w:tcW w:type="dxa" w:w="2314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ptos" w:cs="Aptos" w:eastAsia="Aptos" w:hAnsi="Aptos"/>
                <w:i/>
                <w:iCs/>
                <w:color w:val="555555"/>
                <w:sz w:val="16"/>
                <w:szCs w:val="16"/>
              </w:rPr>
              <w:t xml:space="preserve">Payable before production commences</w:t>
            </w:r>
          </w:p>
        </w:tc>
      </w:tr>
      <w:tr>
        <w:tc>
          <w:tcPr>
            <w:tcW w:type="dxa" w:w="3662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8"/>
                <w:szCs w:val="18"/>
              </w:rPr>
              <w:t xml:space="preserve">Balance *</w:t>
            </w:r>
          </w:p>
        </w:tc>
        <w:tc>
          <w:tcPr>
            <w:tcW w:type="dxa" w:w="3662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ptos" w:cs="Aptos" w:eastAsia="Aptos" w:hAnsi="Aptos"/>
                <w:b/>
                <w:bCs/>
                <w:color w:val="8A1F1F"/>
                <w:sz w:val="18"/>
                <w:szCs w:val="18"/>
              </w:rPr>
              <w:t xml:space="preserve">[INR XXXXX]  *</w:t>
            </w:r>
          </w:p>
        </w:tc>
        <w:tc>
          <w:tcPr>
            <w:tcW w:type="dxa" w:w="2314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ptos" w:cs="Aptos" w:eastAsia="Aptos" w:hAnsi="Aptos"/>
                <w:i/>
                <w:iCs/>
                <w:color w:val="555555"/>
                <w:sz w:val="16"/>
                <w:szCs w:val="16"/>
              </w:rPr>
              <w:t xml:space="preserve">Payable ONLY after delivery + inspection + written acceptance by NexaCrest</w:t>
            </w:r>
          </w:p>
        </w:tc>
      </w:tr>
    </w:tbl>
    <w:p>
      <w:pPr>
        <w:spacing w:after="2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3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5. DELIVERY TERMS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Delivery Location *</w:t>
            </w:r>
            <w:r>
              <w:rPr>
                <w:rFonts w:ascii="Aptos" w:cs="Aptos" w:eastAsia="Aptos" w:hAnsi="Aptos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[Factory address / warehouse / port — exact address]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Required Delivery Date *</w:t>
            </w:r>
            <w:r>
              <w:rPr>
                <w:rFonts w:ascii="Aptos" w:cs="Aptos" w:eastAsia="Aptos" w:hAnsi="Aptos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[DD Month YYYY]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Delivery Confirmation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Supplier must confirm delivery readiness in writing (WhatsApp acceptable) at least 7 days before the required delivery date.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Time is of the Essence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Delivery by the agreed date is of the essence of this Purchase Order. Failure to deliver by the agreed date may result in cancellation of this PO and / or recovery of losses incurred by NexaCrest as a result of the delay, including but not limited to demurrage, vessel rebooking charges and buyer penalties.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Packing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[e.g., Wooden crates / foam padding / bubble wrap. Specify if required.]</w:t>
            </w:r>
          </w:p>
        </w:tc>
      </w:tr>
    </w:tbl>
    <w:p>
      <w:pPr>
        <w:spacing w:after="2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3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6. QUALITY &amp; INSPECTION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• Grade A material only. </w:t>
            </w:r>
            <w:r>
              <w:rPr>
                <w:rFonts w:ascii="Aptos" w:cs="Aptos" w:eastAsia="Aptos" w:hAnsi="Aptos"/>
                <w:sz w:val="18"/>
                <w:szCs w:val="18"/>
              </w:rPr>
              <w:t xml:space="preserve">No mixing of grades within the same order. Any piece found to be below Grade A will be rejected.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• NexaCrest reserves the right to inspect material at the supplier’s premises before dispatch or at the delivery location upon receipt.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• Rejected material: </w:t>
            </w:r>
            <w:r>
              <w:rPr>
                <w:rFonts w:ascii="Aptos" w:cs="Aptos" w:eastAsia="Aptos" w:hAnsi="Aptos"/>
                <w:sz w:val="18"/>
                <w:szCs w:val="18"/>
              </w:rPr>
              <w:t xml:space="preserve">Material that does not conform to the specifications in Section 3 will be rejected. Supplier must replace rejected material within 7 days at no additional cost to NexaCrest. Balance payment will not be released for rejected material.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• Colour consistency: </w:t>
            </w:r>
            <w:r>
              <w:rPr>
                <w:rFonts w:ascii="Aptos" w:cs="Aptos" w:eastAsia="Aptos" w:hAnsi="Aptos"/>
                <w:sz w:val="18"/>
                <w:szCs w:val="18"/>
              </w:rPr>
              <w:t xml:space="preserve">All pieces within a single order must be from the same quarry batch to ensure colour consistency. Visible dramatic colour difference between pieces in the same order is not acceptable.</w:t>
            </w:r>
          </w:p>
          <w:p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• Balance payment released only after: </w:t>
            </w:r>
            <w:r>
              <w:rPr>
                <w:rFonts w:ascii="Aptos" w:cs="Aptos" w:eastAsia="Aptos" w:hAnsi="Aptos"/>
                <w:sz w:val="18"/>
                <w:szCs w:val="18"/>
              </w:rPr>
              <w:t xml:space="preserve">delivery complete + NexaCrest inspection passed + written acceptance issued by NexaCrest. Delivery alone does not trigger balance payment.</w:t>
            </w:r>
          </w:p>
        </w:tc>
      </w:tr>
    </w:tbl>
    <w:p>
      <w:pPr>
        <w:spacing w:after="2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3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7. SUPPLIER ACCEPTANCE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5301"/>
      </w:tblGrid>
      <w:tr>
        <w:tc>
          <w:tcPr>
            <w:tcW w:type="dxa" w:w="4337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1A4A0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Issued by NexaCrest International Private Limited</w:t>
            </w:r>
          </w:p>
        </w:tc>
        <w:tc>
          <w:tcPr>
            <w:tcW w:type="dxa" w:w="5301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1A4A0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Accepted by Supplier  ★  Sign, Stamp &amp; Return</w:t>
            </w:r>
          </w:p>
        </w:tc>
      </w:tr>
      <w:tr>
        <w:tc>
          <w:tcPr>
            <w:tcW w:type="dxa" w:w="4337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tcMar>
              <w:top w:type="dxa" w:w="200"/>
              <w:left w:type="dxa" w:w="160"/>
              <w:bottom w:type="dxa" w:w="200"/>
              <w:right w:type="dxa" w:w="10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12382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Gulmohar Sontakke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Founder &amp; Managing Director</w:t>
            </w:r>
          </w:p>
          <w:p>
            <w:r>
              <w:rPr>
                <w:rFonts w:ascii="Aptos" w:cs="Aptos" w:eastAsia="Aptos" w:hAnsi="Aptos"/>
                <w:color w:val="555555"/>
                <w:sz w:val="17"/>
                <w:szCs w:val="17"/>
              </w:rPr>
              <w:t xml:space="preserve">NexaCrest International Private Limited</w:t>
            </w:r>
          </w:p>
        </w:tc>
        <w:tc>
          <w:tcPr>
            <w:tcW w:type="dxa" w:w="5301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EAF3DE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pPr>
              <w:spacing w:after="100"/>
            </w:pPr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Authorised Signature:</w:t>
            </w:r>
          </w:p>
          <w:p>
            <w:pPr>
              <w:spacing w:after="180"/>
            </w:pPr>
            <w:r>
              <w:rPr>
                <w:rFonts w:ascii="Aptos" w:cs="Aptos" w:eastAsia="Aptos" w:hAnsi="Aptos"/>
                <w:color w:val="999999"/>
                <w:sz w:val="18"/>
                <w:szCs w:val="18"/>
              </w:rPr>
              <w:t xml:space="preserve">_________________________________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Name: _____________________________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Designation: ______________________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Date: _____________________________</w:t>
            </w:r>
          </w:p>
          <w:p>
            <w:r>
              <w:rPr>
                <w:rFonts w:ascii="Aptos" w:cs="Aptos" w:eastAsia="Aptos" w:hAnsi="Aptos"/>
                <w:b/>
                <w:bCs/>
                <w:color w:val="8A1F1F"/>
                <w:sz w:val="17"/>
                <w:szCs w:val="17"/>
              </w:rPr>
              <w:t xml:space="preserve">Supplier Stamp: (mandatory)</w:t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8E4" w:sz="2"/>
              <w:left w:val="single" w:color="1A4A08" w:sz="12"/>
              <w:bottom w:val="single" w:color="D0D8E4" w:sz="2"/>
              <w:right w:val="single" w:color="D0D8E4" w:sz="2"/>
            </w:tcBorders>
            <w:shd w:fill="EAF3D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ptos" w:cs="Aptos" w:eastAsia="Aptos" w:hAnsi="Aptos"/>
                <w:color w:val="1A4A08"/>
                <w:sz w:val="18"/>
                <w:szCs w:val="18"/>
              </w:rPr>
              <w:t xml:space="preserve">By signing above, the supplier confirms acceptance of all specifications, commercial terms, delivery terms and quality conditions stated in this Purchase Order. </w:t>
            </w:r>
            <w:r>
              <w:rPr>
                <w:rFonts w:ascii="Aptos" w:cs="Aptos" w:eastAsia="Aptos" w:hAnsi="Aptos"/>
                <w:b/>
                <w:bCs/>
                <w:color w:val="1A4A08"/>
                <w:sz w:val="18"/>
                <w:szCs w:val="18"/>
              </w:rPr>
              <w:t xml:space="preserve">Acceptance of advance payment constitutes full acceptance of all terms herein.</w:t>
            </w:r>
          </w:p>
        </w:tc>
      </w:tr>
    </w:tbl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e0a8049ebf87ef45b4bed6e0b3fe6819f6995b7.jpg"/><Relationship Id="rId8" Type="http://schemas.openxmlformats.org/officeDocument/2006/relationships/image" Target="media/a6c9f98c305a70a92153282adf23ac209510f448.png"/><Relationship Id="rId9" Type="http://schemas.openxmlformats.org/officeDocument/2006/relationships/image" Target="media/db9422367a69f1c25aa0f15d56ddf24a347470d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2026-09-11T03:52:52.783Z</dcterms:created>
  <dcterms:modified xsi:type="dcterms:W3CDTF">2026-09-11T03:52:52.783Z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