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7233A" w:sz="24" w:space="0"/>
              <w:left w:val="single" w:color="17233A" w:sz="24" w:space="0"/>
              <w:bottom w:val="single" w:color="17233A" w:sz="24" w:space="0"/>
              <w:right w:val="single" w:color="17233A" w:sz="24" w:space="0"/>
            </w:tcBorders>
            <w:shd w:fill="FFFFFF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7233A"/>
                <w:sz w:val="26"/>
                <w:szCs w:val="26"/>
              </w:rPr>
              <w:t xml:space="preserve">NEXACREST INTERNATIONAL PRIVATE LIMITED — ORDER PROCESS: STAGE GATE REFERENCE</w:t>
            </w:r>
          </w:p>
          <w:p>
            <w:pP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18"/>
                <w:szCs w:val="18"/>
              </w:rPr>
              <w:t xml:space="preserve">One action per step  |  Complete each gate before moving forward  |  ⛔ = stop  |  ✅ = proceed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→ BUYER  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→ SUPPLIER  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→ CHA / SHIPPING LINE  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⛔ = Gate — process stops until cleared  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✅ = Gate passed — proceed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185FA5" w:sz="16" w:space="0"/>
              <w:left w:val="single" w:color="185FA5" w:sz="16" w:space="0"/>
              <w:bottom w:val="single" w:color="185FA5" w:sz="4" w:space="0"/>
              <w:right w:val="single" w:color="185FA5" w:sz="4" w:space="0"/>
            </w:tcBorders>
            <w:shd w:fill="185FA5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9038"/>
            <w:tcBorders>
              <w:top w:val="single" w:color="185FA5" w:sz="16" w:space="0"/>
              <w:left w:val="single" w:color="185FA5" w:sz="4" w:space="0"/>
              <w:bottom w:val="single" w:color="185FA5" w:sz="4" w:space="0"/>
              <w:right w:val="single" w:color="185FA5" w:sz="16" w:space="0"/>
            </w:tcBorders>
            <w:shd w:fill="E6F1FB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2C53"/>
                <w:sz w:val="22"/>
                <w:szCs w:val="22"/>
              </w:rPr>
              <w:t xml:space="preserve">Enquiry &amp; Quotation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Buyer enquires → NexaCrest issues Quotation</w:t>
            </w:r>
          </w:p>
        </w:tc>
      </w:tr>
      <w:tr>
        <w:tc>
          <w:tcPr>
            <w:tcW w:type="dxa" w:w="600"/>
            <w:tcBorders>
              <w:top w:val="single" w:color="185FA5" w:sz="4" w:space="0"/>
              <w:left w:val="single" w:color="185FA5" w:sz="16" w:space="0"/>
              <w:bottom w:val="single" w:color="185FA5" w:sz="16" w:space="0"/>
              <w:right w:val="single" w:color="185FA5" w:sz="4" w:space="0"/>
            </w:tcBorders>
            <w:shd w:fill="185FA5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185FA5" w:sz="4" w:space="0"/>
              <w:left w:val="single" w:color="185FA5" w:sz="4" w:space="0"/>
              <w:bottom w:val="single" w:color="185FA5" w:sz="16" w:space="0"/>
              <w:right w:val="single" w:color="185FA5" w:sz="16" w:space="0"/>
            </w:tcBorders>
            <w:shd w:fill="EDF5FD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01 Quotation  |  Annexure A (if needed)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185FA5" w:sz="8" w:space="0"/>
                    <w:left w:val="single" w:color="185FA5" w:sz="24" w:space="0"/>
                    <w:bottom w:val="single" w:color="185FA5" w:sz="8" w:space="0"/>
                    <w:right w:val="single" w:color="185FA5" w:sz="8" w:space="0"/>
                  </w:tcBorders>
                  <w:shd w:fill="B5D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42C53"/>
                      <w:sz w:val="17"/>
                      <w:szCs w:val="17"/>
                    </w:rPr>
                    <w:t xml:space="preserve">⛔ Gate: Written acceptance of Quotation must be received from buyer before issuing any further document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185FA5" w:sz="16" w:space="0"/>
              <w:left w:val="single" w:color="185FA5" w:sz="16" w:space="0"/>
              <w:bottom w:val="single" w:color="185FA5" w:sz="4" w:space="0"/>
              <w:right w:val="single" w:color="185FA5" w:sz="4" w:space="0"/>
            </w:tcBorders>
            <w:shd w:fill="185FA5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9038"/>
            <w:tcBorders>
              <w:top w:val="single" w:color="185FA5" w:sz="16" w:space="0"/>
              <w:left w:val="single" w:color="185FA5" w:sz="4" w:space="0"/>
              <w:bottom w:val="single" w:color="185FA5" w:sz="4" w:space="0"/>
              <w:right w:val="single" w:color="185FA5" w:sz="16" w:space="0"/>
            </w:tcBorders>
            <w:shd w:fill="E6F1FB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42C53"/>
                <w:sz w:val="22"/>
                <w:szCs w:val="22"/>
              </w:rPr>
              <w:t xml:space="preserve">Buyer Purchase Order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C447C"/>
                <w:sz w:val="17"/>
                <w:szCs w:val="17"/>
              </w:rPr>
              <w:t xml:space="preserve">NexaCrest sends pre-filled PO → Buyer signs and returns</w:t>
            </w:r>
          </w:p>
        </w:tc>
      </w:tr>
      <w:tr>
        <w:tc>
          <w:tcPr>
            <w:tcW w:type="dxa" w:w="600"/>
            <w:tcBorders>
              <w:top w:val="single" w:color="185FA5" w:sz="4" w:space="0"/>
              <w:left w:val="single" w:color="185FA5" w:sz="16" w:space="0"/>
              <w:bottom w:val="single" w:color="185FA5" w:sz="16" w:space="0"/>
              <w:right w:val="single" w:color="185FA5" w:sz="4" w:space="0"/>
            </w:tcBorders>
            <w:shd w:fill="185FA5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185FA5" w:sz="4" w:space="0"/>
              <w:left w:val="single" w:color="185FA5" w:sz="4" w:space="0"/>
              <w:bottom w:val="single" w:color="185FA5" w:sz="16" w:space="0"/>
              <w:right w:val="single" w:color="185FA5" w:sz="16" w:space="0"/>
            </w:tcBorders>
            <w:shd w:fill="EDF5FD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10 Buyer PO — Order Acceptance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185FA5" w:sz="8" w:space="0"/>
                    <w:left w:val="single" w:color="185FA5" w:sz="24" w:space="0"/>
                    <w:bottom w:val="single" w:color="185FA5" w:sz="8" w:space="0"/>
                    <w:right w:val="single" w:color="185FA5" w:sz="8" w:space="0"/>
                  </w:tcBorders>
                  <w:shd w:fill="B5D4F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42C53"/>
                      <w:sz w:val="17"/>
                      <w:szCs w:val="17"/>
                    </w:rPr>
                    <w:t xml:space="preserve">⛔ Gate: Signed Buyer PO (or written email / WhatsApp confirmation) must be on file before PI is issued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3B6D11" w:sz="16" w:space="0"/>
              <w:left w:val="single" w:color="3B6D11" w:sz="16" w:space="0"/>
              <w:bottom w:val="single" w:color="3B6D11" w:sz="4" w:space="0"/>
              <w:right w:val="single" w:color="3B6D11" w:sz="4" w:space="0"/>
            </w:tcBorders>
            <w:shd w:fill="3B6D11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9038"/>
            <w:tcBorders>
              <w:top w:val="single" w:color="3B6D11" w:sz="16" w:space="0"/>
              <w:left w:val="single" w:color="3B6D11" w:sz="4" w:space="0"/>
              <w:bottom w:val="single" w:color="3B6D11" w:sz="4" w:space="0"/>
              <w:right w:val="single" w:color="3B6D11" w:sz="16" w:space="0"/>
            </w:tcBorders>
            <w:shd w:fill="EAF3DE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73404"/>
                <w:sz w:val="22"/>
                <w:szCs w:val="22"/>
              </w:rPr>
              <w:t xml:space="preserve">Proforma Invoice</w:t>
            </w: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7500A"/>
                <w:sz w:val="17"/>
                <w:szCs w:val="17"/>
              </w:rPr>
              <w:t xml:space="preserve">NexaCrest issues PI → Buyer pays 40% advance on FOB Value</w:t>
            </w:r>
          </w:p>
        </w:tc>
      </w:tr>
      <w:tr>
        <w:tc>
          <w:tcPr>
            <w:tcW w:type="dxa" w:w="600"/>
            <w:tcBorders>
              <w:top w:val="single" w:color="3B6D11" w:sz="4" w:space="0"/>
              <w:left w:val="single" w:color="3B6D11" w:sz="16" w:space="0"/>
              <w:bottom w:val="single" w:color="3B6D11" w:sz="16" w:space="0"/>
              <w:right w:val="single" w:color="3B6D11" w:sz="4" w:space="0"/>
            </w:tcBorders>
            <w:shd w:fill="3B6D11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3B6D11" w:sz="4" w:space="0"/>
              <w:left w:val="single" w:color="3B6D11" w:sz="4" w:space="0"/>
              <w:bottom w:val="single" w:color="3B6D11" w:sz="16" w:space="0"/>
              <w:right w:val="single" w:color="3B6D11" w:sz="16" w:space="0"/>
            </w:tcBorders>
            <w:shd w:fill="F0F8E6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02 Proforma Invoice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3B6D11" w:sz="8" w:space="0"/>
                    <w:left w:val="single" w:color="3B6D11" w:sz="24" w:space="0"/>
                    <w:bottom w:val="single" w:color="3B6D11" w:sz="8" w:space="0"/>
                    <w:right w:val="single" w:color="3B6D11" w:sz="8" w:space="0"/>
                  </w:tcBorders>
                  <w:shd w:fill="C0DD9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404"/>
                      <w:sz w:val="17"/>
                      <w:szCs w:val="17"/>
                    </w:rPr>
                    <w:t xml:space="preserve">⛔ Gate: 40% advance must be CLEARED in NexaCrest SBI account — allow 1–2 banking days. Remittance copy alone does not constitute payment receipt. Payment terms are now locked — any change requires written agreement from both parties.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3B6D11" w:sz="16" w:space="0"/>
              <w:left w:val="single" w:color="3B6D11" w:sz="16" w:space="0"/>
              <w:bottom w:val="single" w:color="3B6D11" w:sz="4" w:space="0"/>
              <w:right w:val="single" w:color="3B6D11" w:sz="4" w:space="0"/>
            </w:tcBorders>
            <w:shd w:fill="3B6D11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</w:t>
            </w:r>
          </w:p>
        </w:tc>
        <w:tc>
          <w:tcPr>
            <w:tcW w:type="dxa" w:w="9038"/>
            <w:tcBorders>
              <w:top w:val="single" w:color="3B6D11" w:sz="16" w:space="0"/>
              <w:left w:val="single" w:color="3B6D11" w:sz="4" w:space="0"/>
              <w:bottom w:val="single" w:color="3B6D11" w:sz="4" w:space="0"/>
              <w:right w:val="single" w:color="3B6D11" w:sz="16" w:space="0"/>
            </w:tcBorders>
            <w:shd w:fill="EAF3DE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73404"/>
                <w:sz w:val="22"/>
                <w:szCs w:val="22"/>
              </w:rPr>
              <w:t xml:space="preserve">Order Confirmation</w:t>
            </w: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27500A"/>
                <w:sz w:val="17"/>
                <w:szCs w:val="17"/>
              </w:rPr>
              <w:t xml:space="preserve">NexaCrest confirms order and advance received → Buyer acknowledges</w:t>
            </w:r>
          </w:p>
        </w:tc>
      </w:tr>
      <w:tr>
        <w:tc>
          <w:tcPr>
            <w:tcW w:type="dxa" w:w="600"/>
            <w:tcBorders>
              <w:top w:val="single" w:color="3B6D11" w:sz="4" w:space="0"/>
              <w:left w:val="single" w:color="3B6D11" w:sz="16" w:space="0"/>
              <w:bottom w:val="single" w:color="3B6D11" w:sz="16" w:space="0"/>
              <w:right w:val="single" w:color="3B6D11" w:sz="4" w:space="0"/>
            </w:tcBorders>
            <w:shd w:fill="3B6D11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3B6D11" w:sz="4" w:space="0"/>
              <w:left w:val="single" w:color="3B6D11" w:sz="4" w:space="0"/>
              <w:bottom w:val="single" w:color="3B6D11" w:sz="16" w:space="0"/>
              <w:right w:val="single" w:color="3B6D11" w:sz="16" w:space="0"/>
            </w:tcBorders>
            <w:shd w:fill="F0F8E6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03 Order Confirmation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3B6D11" w:sz="8" w:space="0"/>
                    <w:left w:val="single" w:color="3B6D11" w:sz="24" w:space="0"/>
                    <w:bottom w:val="single" w:color="3B6D11" w:sz="8" w:space="0"/>
                    <w:right w:val="single" w:color="3B6D11" w:sz="8" w:space="0"/>
                  </w:tcBorders>
                  <w:shd w:fill="C0DD9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404"/>
                      <w:sz w:val="17"/>
                      <w:szCs w:val="17"/>
                    </w:rPr>
                    <w:t xml:space="preserve">✅ Gate passed: OC issued → proceed to Step 5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BA7517" w:sz="16" w:space="0"/>
              <w:left w:val="single" w:color="BA7517" w:sz="16" w:space="0"/>
              <w:bottom w:val="single" w:color="BA7517" w:sz="4" w:space="0"/>
              <w:right w:val="single" w:color="BA7517" w:sz="4" w:space="0"/>
            </w:tcBorders>
            <w:shd w:fill="BA751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</w:tc>
        <w:tc>
          <w:tcPr>
            <w:tcW w:type="dxa" w:w="9038"/>
            <w:tcBorders>
              <w:top w:val="single" w:color="BA7517" w:sz="16" w:space="0"/>
              <w:left w:val="single" w:color="BA7517" w:sz="4" w:space="0"/>
              <w:bottom w:val="single" w:color="BA7517" w:sz="4" w:space="0"/>
              <w:right w:val="single" w:color="BA7517" w:sz="16" w:space="0"/>
            </w:tcBorders>
            <w:shd w:fill="FFF3CD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Supplier Purchase Order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 → SUPPLIER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NexaCrest issues Supplier PO → Supplier signs, stamps and returns</w:t>
            </w:r>
          </w:p>
        </w:tc>
      </w:tr>
      <w:tr>
        <w:tc>
          <w:tcPr>
            <w:tcW w:type="dxa" w:w="600"/>
            <w:tcBorders>
              <w:top w:val="single" w:color="BA7517" w:sz="4" w:space="0"/>
              <w:left w:val="single" w:color="BA7517" w:sz="16" w:space="0"/>
              <w:bottom w:val="single" w:color="BA7517" w:sz="16" w:space="0"/>
              <w:right w:val="single" w:color="BA7517" w:sz="4" w:space="0"/>
            </w:tcBorders>
            <w:shd w:fill="BA7517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BA7517" w:sz="4" w:space="0"/>
              <w:left w:val="single" w:color="BA7517" w:sz="4" w:space="0"/>
              <w:bottom w:val="single" w:color="BA7517" w:sz="16" w:space="0"/>
              <w:right w:val="single" w:color="BA7517" w:sz="16" w:space="0"/>
            </w:tcBorders>
            <w:shd w:fill="FFF8E0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11 Supplier PO — Material Procurement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BA7517" w:sz="8" w:space="0"/>
                    <w:left w:val="single" w:color="BA7517" w:sz="24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7"/>
                      <w:szCs w:val="17"/>
                    </w:rPr>
                    <w:t xml:space="preserve">⛔ Gate: Signed Supplier PO must be returned before material advance is paid and production commences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BA7517" w:sz="16" w:space="0"/>
              <w:left w:val="single" w:color="BA7517" w:sz="16" w:space="0"/>
              <w:bottom w:val="single" w:color="BA7517" w:sz="4" w:space="0"/>
              <w:right w:val="single" w:color="BA7517" w:sz="4" w:space="0"/>
            </w:tcBorders>
            <w:shd w:fill="BA751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</w:t>
            </w:r>
          </w:p>
        </w:tc>
        <w:tc>
          <w:tcPr>
            <w:tcW w:type="dxa" w:w="9038"/>
            <w:tcBorders>
              <w:top w:val="single" w:color="BA7517" w:sz="16" w:space="0"/>
              <w:left w:val="single" w:color="BA7517" w:sz="4" w:space="0"/>
              <w:bottom w:val="single" w:color="BA7517" w:sz="4" w:space="0"/>
              <w:right w:val="single" w:color="BA7517" w:sz="16" w:space="0"/>
            </w:tcBorders>
            <w:shd w:fill="FFF3CD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Freight Payment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NexaCrest issues FDN → Buyer pays freight &amp; insurance  |  CFR/CIF only — skip entirely if FOB</w:t>
            </w:r>
          </w:p>
        </w:tc>
      </w:tr>
      <w:tr>
        <w:tc>
          <w:tcPr>
            <w:tcW w:type="dxa" w:w="600"/>
            <w:tcBorders>
              <w:top w:val="single" w:color="BA7517" w:sz="4" w:space="0"/>
              <w:left w:val="single" w:color="BA7517" w:sz="16" w:space="0"/>
              <w:bottom w:val="single" w:color="BA7517" w:sz="16" w:space="0"/>
              <w:right w:val="single" w:color="BA7517" w:sz="4" w:space="0"/>
            </w:tcBorders>
            <w:shd w:fill="BA7517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BA7517" w:sz="4" w:space="0"/>
              <w:left w:val="single" w:color="BA7517" w:sz="4" w:space="0"/>
              <w:bottom w:val="single" w:color="BA7517" w:sz="16" w:space="0"/>
              <w:right w:val="single" w:color="BA7517" w:sz="16" w:space="0"/>
            </w:tcBorders>
            <w:shd w:fill="FFF8E0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06 Freight Debit Note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BA7517" w:sz="8" w:space="0"/>
                    <w:left w:val="single" w:color="BA7517" w:sz="24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7"/>
                      <w:szCs w:val="17"/>
                    </w:rPr>
                    <w:t xml:space="preserve">⛔ Gate (CFR/CIF): Freight must be CLEARED in NexaCrest SBI account before container booking is confirmed. Shipment cannot proceed without this.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BA7517" w:sz="16" w:space="0"/>
              <w:left w:val="single" w:color="BA7517" w:sz="16" w:space="0"/>
              <w:bottom w:val="single" w:color="BA7517" w:sz="4" w:space="0"/>
              <w:right w:val="single" w:color="BA7517" w:sz="4" w:space="0"/>
            </w:tcBorders>
            <w:shd w:fill="BA751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</w:t>
            </w:r>
          </w:p>
        </w:tc>
        <w:tc>
          <w:tcPr>
            <w:tcW w:type="dxa" w:w="9038"/>
            <w:tcBorders>
              <w:top w:val="single" w:color="BA7517" w:sz="16" w:space="0"/>
              <w:left w:val="single" w:color="BA7517" w:sz="4" w:space="0"/>
              <w:bottom w:val="single" w:color="BA7517" w:sz="4" w:space="0"/>
              <w:right w:val="single" w:color="BA7517" w:sz="16" w:space="0"/>
            </w:tcBorders>
            <w:shd w:fill="FFF3CD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12402"/>
                <w:sz w:val="22"/>
                <w:szCs w:val="22"/>
              </w:rPr>
              <w:t xml:space="preserve">Packing &amp; BL Instruction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 → CHA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NexaCrest completes packing → Issues BL Instruction to CHA → Vessel departs</w:t>
            </w:r>
          </w:p>
        </w:tc>
      </w:tr>
      <w:tr>
        <w:tc>
          <w:tcPr>
            <w:tcW w:type="dxa" w:w="600"/>
            <w:tcBorders>
              <w:top w:val="single" w:color="BA7517" w:sz="4" w:space="0"/>
              <w:left w:val="single" w:color="BA7517" w:sz="16" w:space="0"/>
              <w:bottom w:val="single" w:color="BA7517" w:sz="16" w:space="0"/>
              <w:right w:val="single" w:color="BA7517" w:sz="4" w:space="0"/>
            </w:tcBorders>
            <w:shd w:fill="BA7517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BA7517" w:sz="4" w:space="0"/>
              <w:left w:val="single" w:color="BA7517" w:sz="4" w:space="0"/>
              <w:bottom w:val="single" w:color="BA7517" w:sz="16" w:space="0"/>
              <w:right w:val="single" w:color="BA7517" w:sz="16" w:space="0"/>
            </w:tcBorders>
            <w:shd w:fill="FFF8E0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04 Packing List  |  08 BL Instruction Sheet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BA7517" w:sz="8" w:space="0"/>
                    <w:left w:val="single" w:color="BA7517" w:sz="24" w:space="0"/>
                    <w:bottom w:val="single" w:color="BA7517" w:sz="8" w:space="0"/>
                    <w:right w:val="single" w:color="BA7517" w:sz="8" w:space="0"/>
                  </w:tcBorders>
                  <w:shd w:fill="FAC7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12402"/>
                      <w:sz w:val="17"/>
                      <w:szCs w:val="17"/>
                    </w:rPr>
                    <w:t xml:space="preserve">⛔ Gate: NexaCrest must approve draft BL in writing before CHA issues any original BL. Check: Original Negotiable · TO ORDER OF NEXACREST · 3 originals received by NexaCrest only.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A32D2D" w:sz="16" w:space="0"/>
              <w:left w:val="single" w:color="A32D2D" w:sz="16" w:space="0"/>
              <w:bottom w:val="single" w:color="A32D2D" w:sz="4" w:space="0"/>
              <w:right w:val="single" w:color="A32D2D" w:sz="4" w:space="0"/>
            </w:tcBorders>
            <w:shd w:fill="A32D2D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</w:t>
            </w:r>
          </w:p>
        </w:tc>
        <w:tc>
          <w:tcPr>
            <w:tcW w:type="dxa" w:w="9038"/>
            <w:tcBorders>
              <w:top w:val="single" w:color="A32D2D" w:sz="16" w:space="0"/>
              <w:left w:val="single" w:color="A32D2D" w:sz="4" w:space="0"/>
              <w:bottom w:val="single" w:color="A32D2D" w:sz="4" w:space="0"/>
              <w:right w:val="single" w:color="A32D2D" w:sz="16" w:space="0"/>
            </w:tcBorders>
            <w:shd w:fill="FBEAEA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01313"/>
                <w:sz w:val="22"/>
                <w:szCs w:val="22"/>
              </w:rPr>
              <w:t xml:space="preserve">Commercial Invoice &amp; Balance</w:t>
            </w: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791F1F"/>
                <w:sz w:val="17"/>
                <w:szCs w:val="17"/>
              </w:rPr>
              <w:t xml:space="preserve">NexaCrest issues CI + scanned BL copy → Buyer pays 60% balance on FOB Value within 7 days (Tier 2) OR before shipment (Tier 1)</w:t>
            </w:r>
          </w:p>
        </w:tc>
      </w:tr>
      <w:tr>
        <w:tc>
          <w:tcPr>
            <w:tcW w:type="dxa" w:w="600"/>
            <w:tcBorders>
              <w:top w:val="single" w:color="A32D2D" w:sz="4" w:space="0"/>
              <w:left w:val="single" w:color="A32D2D" w:sz="16" w:space="0"/>
              <w:bottom w:val="single" w:color="A32D2D" w:sz="16" w:space="0"/>
              <w:right w:val="single" w:color="A32D2D" w:sz="4" w:space="0"/>
            </w:tcBorders>
            <w:shd w:fill="A32D2D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A32D2D" w:sz="4" w:space="0"/>
              <w:left w:val="single" w:color="A32D2D" w:sz="4" w:space="0"/>
              <w:bottom w:val="single" w:color="A32D2D" w:sz="16" w:space="0"/>
              <w:right w:val="single" w:color="A32D2D" w:sz="16" w:space="0"/>
            </w:tcBorders>
            <w:shd w:fill="FDF0F0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05 Commercial Invoice  |  Scanned BL copy sent to buyer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A32D2D" w:sz="8" w:space="0"/>
                    <w:left w:val="single" w:color="A32D2D" w:sz="24" w:space="0"/>
                    <w:bottom w:val="single" w:color="A32D2D" w:sz="8" w:space="0"/>
                    <w:right w:val="single" w:color="A32D2D" w:sz="8" w:space="0"/>
                  </w:tcBorders>
                  <w:shd w:fill="F7C1C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01313"/>
                      <w:sz w:val="17"/>
                      <w:szCs w:val="17"/>
                    </w:rPr>
                    <w:t xml:space="preserve">⛔ Gate: 60% balance must be CLEARED in NexaCrest SBI account — allow 1–2 banking days. BL originals will NOT be endorsed or released until balance is confirmed cleared.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534AB7" w:sz="16" w:space="0"/>
              <w:left w:val="single" w:color="534AB7" w:sz="16" w:space="0"/>
              <w:bottom w:val="single" w:color="534AB7" w:sz="4" w:space="0"/>
              <w:right w:val="single" w:color="534AB7" w:sz="4" w:space="0"/>
            </w:tcBorders>
            <w:shd w:fill="534AB7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9</w:t>
            </w:r>
          </w:p>
        </w:tc>
        <w:tc>
          <w:tcPr>
            <w:tcW w:type="dxa" w:w="9038"/>
            <w:tcBorders>
              <w:top w:val="single" w:color="534AB7" w:sz="16" w:space="0"/>
              <w:left w:val="single" w:color="534AB7" w:sz="4" w:space="0"/>
              <w:bottom w:val="single" w:color="534AB7" w:sz="4" w:space="0"/>
              <w:right w:val="single" w:color="534AB7" w:sz="16" w:space="0"/>
            </w:tcBorders>
            <w:shd w:fill="EEEDFE" w:val="clear"/>
            <w:tcMar>
              <w:top w:type="dxa" w:w="100"/>
              <w:left w:type="dxa" w:w="180"/>
              <w:bottom w:type="dxa" w:w="4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Document Despatch &amp; Closure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</w:rPr>
              <w:t xml:space="preserve">  → BUYER</w:t>
            </w:r>
          </w:p>
          <w:p>
            <w:pPr>
              <w:spacing w:after="40"/>
            </w:pP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3C3489"/>
                <w:sz w:val="17"/>
                <w:szCs w:val="17"/>
              </w:rPr>
              <w:t xml:space="preserve">NexaCrest applies for COO → Endorses BL originals → Couriers complete document set to buyer</w:t>
            </w:r>
          </w:p>
        </w:tc>
      </w:tr>
      <w:tr>
        <w:tc>
          <w:tcPr>
            <w:tcW w:type="dxa" w:w="600"/>
            <w:tcBorders>
              <w:top w:val="single" w:color="534AB7" w:sz="4" w:space="0"/>
              <w:left w:val="single" w:color="534AB7" w:sz="16" w:space="0"/>
              <w:bottom w:val="single" w:color="534AB7" w:sz="16" w:space="0"/>
              <w:right w:val="single" w:color="534AB7" w:sz="4" w:space="0"/>
            </w:tcBorders>
            <w:shd w:fill="534AB7" w:val="clear"/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534AB7" w:sz="4" w:space="0"/>
              <w:left w:val="single" w:color="534AB7" w:sz="4" w:space="0"/>
              <w:bottom w:val="single" w:color="534AB7" w:sz="16" w:space="0"/>
              <w:right w:val="single" w:color="534AB7" w:sz="16" w:space="0"/>
            </w:tcBorders>
            <w:shd w:fill="F3F2FF" w:val="clear"/>
            <w:tcMar>
              <w:top w:type="dxa" w:w="80"/>
              <w:left w:type="dxa" w:w="180"/>
              <w:bottom w:type="dxa" w:w="10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07 COO Prep → CAPEXIL issues COO  |  3× Original BL (endorsed)  |  Fumigation Certificate</w:t>
            </w:r>
          </w:p>
          <w:p>
            <w:pPr>
              <w:spacing w:after="80"/>
            </w:pPr>
          </w:p>
          <w:tbl>
            <w:tblPr>
              <w:tblW w:type="dxa" w:w="86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98"/>
            </w:tblGrid>
            <w:tr>
              <w:tc>
                <w:tcPr>
                  <w:tcBorders>
                    <w:top w:val="single" w:color="534AB7" w:sz="8" w:space="0"/>
                    <w:left w:val="single" w:color="534AB7" w:sz="24" w:space="0"/>
                    <w:bottom w:val="single" w:color="534AB7" w:sz="8" w:space="0"/>
                    <w:right w:val="single" w:color="534AB7" w:sz="8" w:space="0"/>
                  </w:tcBorders>
                  <w:shd w:fill="CECBF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6215C"/>
                      <w:sz w:val="17"/>
                      <w:szCs w:val="17"/>
                    </w:rPr>
                    <w:t xml:space="preserve">✅ Order complete. All documents despatched. Buyer Inquiry REF [NC/SC/YYYY/DDMMNNN] filed and closed.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Throughout all 9 steps → </w:t>
            </w:r>
            <w:r>
              <w:rPr>
                <w:rFonts w:ascii="Arial" w:cs="Arial" w:eastAsia="Arial" w:hAnsi="Arial"/>
                <w:b/>
                <w:bCs/>
                <w:color w:val="17233A"/>
                <w:sz w:val="16"/>
                <w:szCs w:val="16"/>
              </w:rPr>
              <w:t xml:space="preserve">09 Cross-Verification Checklists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 used internally  |  </w:t>
            </w:r>
            <w:r>
              <w:rPr>
                <w:rFonts w:ascii="Arial" w:cs="Arial" w:eastAsia="Arial" w:hAnsi="Arial"/>
                <w:b/>
                <w:bCs/>
                <w:color w:val="17233A"/>
                <w:sz w:val="16"/>
                <w:szCs w:val="16"/>
              </w:rPr>
              <w:t xml:space="preserve">Buyer Inquiry REF NC/SC/YYYY/DDMMNNN</w:t>
            </w: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 must appear on every document  |  Allow 1–2 banking days for all payment clearance confirmations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2026-09-17T06:46:02.933Z</dcterms:created>
  <dcterms:modified xsi:type="dcterms:W3CDTF">2026-09-17T06:46:02.933Z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