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0"/>
              <w:jc w:val="center"/>
            </w:pPr>
            <w:r>
              <w:rPr>
                <w:rFonts w:ascii="Arial" w:cs="Arial" w:eastAsia="Arial" w:hAnsi="Arial"/>
                <w:b/>
                <w:bCs/>
                <w:color w:val="FFFFFF"/>
                <w:sz w:val="22"/>
                <w:szCs w:val="22"/>
              </w:rPr>
              <w:t xml:space="preserve">NEXACREST INTERNATIONAL PRIVATE LIMITED</w:t>
            </w:r>
          </w:p>
          <w:p>
            <w:pPr>
              <w:spacing w:after="40"/>
            </w:pPr>
          </w:p>
          <w:p>
            <w:pPr>
              <w:spacing w:after="0"/>
              <w:jc w:val="center"/>
            </w:pPr>
            <w:r>
              <w:rPr>
                <w:rFonts w:ascii="Arial" w:cs="Arial" w:eastAsia="Arial" w:hAnsi="Arial"/>
                <w:b/>
                <w:bCs/>
                <w:color w:val="FFFFFF"/>
                <w:sz w:val="28"/>
                <w:szCs w:val="28"/>
              </w:rPr>
              <w:t xml:space="preserve">SOP 02 — ACCOUNTS &amp; FINANCE</w:t>
            </w:r>
          </w:p>
          <w:p>
            <w:pPr>
              <w:spacing w:after="40"/>
            </w:pPr>
          </w:p>
          <w:p>
            <w:pPr>
              <w:spacing w:after="0"/>
              <w:jc w:val="center"/>
            </w:pPr>
            <w:r>
              <w:rPr>
                <w:rFonts w:ascii="Arial" w:cs="Arial" w:eastAsia="Arial" w:hAnsi="Arial"/>
                <w:b/>
                <w:bCs/>
                <w:color w:val="AAAACC"/>
                <w:sz w:val="18"/>
                <w:szCs w:val="18"/>
              </w:rPr>
              <w:t xml:space="preserve">Payment Verification, FDN, and Balance Collection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c>
          <w:tcPr>
            <w:tcW w:type="dxa" w:w="2698"/>
            <w:tcBorders>
              <w:top w:val="single" w:color="3B6D11" w:sz="12" w:space="0"/>
              <w:left w:val="single" w:color="3B6D11" w:sz="12" w:space="0"/>
              <w:bottom w:val="single" w:color="3B6D11" w:sz="12" w:space="0"/>
              <w:right w:val="single" w:color="3B6D11" w:sz="12" w:space="0"/>
            </w:tcBorders>
            <w:shd w:fill="3B6D11" w:val="clear"/>
            <w:tcMar>
              <w:top w:type="dxa" w:w="80"/>
              <w:left w:type="dxa" w:w="140"/>
              <w:bottom w:type="dxa" w:w="80"/>
              <w:right w:type="dxa" w:w="100"/>
            </w:tcMar>
          </w:tcPr>
          <w:p>
            <w:pPr>
              <w:spacing w:after="0"/>
              <w:jc w:val="left"/>
            </w:pPr>
            <w:r>
              <w:rPr>
                <w:rFonts w:ascii="Arial" w:cs="Arial" w:eastAsia="Arial" w:hAnsi="Arial"/>
                <w:b/>
                <w:bCs/>
                <w:color w:val="FFFFFF"/>
                <w:sz w:val="18"/>
                <w:szCs w:val="18"/>
              </w:rPr>
              <w:t xml:space="preserve">FOR</w:t>
            </w:r>
          </w:p>
        </w:tc>
        <w:tc>
          <w:tcPr>
            <w:tcW w:type="dxa" w:w="6940"/>
            <w:tcBorders>
              <w:top w:val="single" w:color="3B6D11" w:sz="8" w:space="0"/>
              <w:left w:val="single" w:color="3B6D11" w:sz="8" w:space="0"/>
              <w:bottom w:val="single" w:color="3B6D11" w:sz="8" w:space="0"/>
              <w:right w:val="single" w:color="3B6D11" w:sz="8" w:space="0"/>
            </w:tcBorders>
            <w:shd w:fill="EAF3DE" w:val="clear"/>
            <w:tcMar>
              <w:top w:type="dxa" w:w="80"/>
              <w:left w:type="dxa" w:w="140"/>
              <w:bottom w:type="dxa" w:w="80"/>
              <w:right w:type="dxa" w:w="140"/>
            </w:tcMar>
          </w:tcPr>
          <w:p>
            <w:pPr>
              <w:spacing w:after="0"/>
              <w:jc w:val="left"/>
            </w:pPr>
            <w:r>
              <w:rPr>
                <w:rFonts w:ascii="Arial" w:cs="Arial" w:eastAsia="Arial" w:hAnsi="Arial"/>
                <w:b/>
                <w:bCs/>
                <w:color w:val="3B6D11"/>
                <w:sz w:val="18"/>
                <w:szCs w:val="18"/>
              </w:rPr>
              <w:t xml:space="preserve">Accounts Officer / Finance Manager</w:t>
            </w:r>
          </w:p>
        </w:tc>
      </w:tr>
      <w:tr>
        <w:tc>
          <w:tcPr>
            <w:tcW w:type="dxa" w:w="2698"/>
            <w:tcBorders>
              <w:top w:val="single" w:color="3B6D11" w:sz="8" w:space="0"/>
              <w:left w:val="single" w:color="3B6D11" w:sz="8" w:space="0"/>
              <w:bottom w:val="single" w:color="3B6D11" w:sz="8" w:space="0"/>
              <w:right w:val="single" w:color="3B6D11"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TOOLS &amp; DOCS</w:t>
            </w:r>
          </w:p>
        </w:tc>
        <w:tc>
          <w:tcPr>
            <w:tcW w:type="dxa" w:w="6940"/>
            <w:tcBorders>
              <w:top w:val="single" w:color="3B6D11" w:sz="8" w:space="0"/>
              <w:left w:val="single" w:color="3B6D11" w:sz="8" w:space="0"/>
              <w:bottom w:val="single" w:color="3B6D11" w:sz="8" w:space="0"/>
              <w:right w:val="single" w:color="3B6D11"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Order Data Sheet (Tab 1 Section 6) · Freight Debit Note (06) · Commercial Invoice (05)</w:t>
            </w:r>
          </w:p>
        </w:tc>
      </w:tr>
      <w:tr>
        <w:tc>
          <w:tcPr>
            <w:tcW w:type="dxa" w:w="2698"/>
            <w:tcBorders>
              <w:top w:val="single" w:color="3B6D11" w:sz="8" w:space="0"/>
              <w:left w:val="single" w:color="3B6D11" w:sz="8" w:space="0"/>
              <w:bottom w:val="single" w:color="3B6D11" w:sz="8" w:space="0"/>
              <w:right w:val="single" w:color="3B6D11"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CHECKLIST</w:t>
            </w:r>
          </w:p>
        </w:tc>
        <w:tc>
          <w:tcPr>
            <w:tcW w:type="dxa" w:w="6940"/>
            <w:tcBorders>
              <w:top w:val="single" w:color="3B6D11" w:sz="8" w:space="0"/>
              <w:left w:val="single" w:color="3B6D11" w:sz="8" w:space="0"/>
              <w:bottom w:val="single" w:color="3B6D11" w:sz="8" w:space="0"/>
              <w:right w:val="single" w:color="3B6D11"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Cross-Verification Checklist 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B6D11" w:sz="8" w:space="0"/>
              <w:left w:val="single" w:color="3B6D11" w:sz="8" w:space="0"/>
              <w:bottom w:val="single" w:color="3B6D11" w:sz="8" w:space="0"/>
              <w:right w:val="single" w:color="3B6D11" w:sz="8" w:space="0"/>
            </w:tcBorders>
            <w:shd w:fill="3B6D11"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PURPOSE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B6D11" w:sz="8" w:space="0"/>
              <w:left w:val="single" w:color="3B6D11" w:sz="8" w:space="0"/>
              <w:bottom w:val="single" w:color="3B6D11" w:sz="8" w:space="0"/>
              <w:right w:val="single" w:color="3B6D11" w:sz="8" w:space="0"/>
            </w:tcBorders>
            <w:shd w:fill="EAF3DE" w:val="clear"/>
            <w:tcMar>
              <w:top w:type="dxa" w:w="100"/>
              <w:left w:type="dxa" w:w="180"/>
              <w:bottom w:type="dxa" w:w="100"/>
              <w:right w:type="dxa" w:w="180"/>
            </w:tcMar>
          </w:tcPr>
          <w:p>
            <w:pPr>
              <w:spacing w:after="0"/>
              <w:jc w:val="left"/>
            </w:pPr>
            <w:r>
              <w:rPr>
                <w:rFonts w:ascii="Arial" w:cs="Arial" w:eastAsia="Arial" w:hAnsi="Arial"/>
                <w:sz w:val="18"/>
                <w:szCs w:val="18"/>
              </w:rPr>
              <w:t xml:space="preserve">This SOP covers all payment-related actions: verifying the 40% advance, issuing the Freight Debit Note (CFR/CIF orders), verifying freight payment, and collecting and confirming the 60% balance. Accounts is the gate-keeper — no production starts and no BL is released without Accounts confirmation.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B6D11" w:sz="8" w:space="0"/>
              <w:left w:val="single" w:color="3B6D11" w:sz="8" w:space="0"/>
              <w:bottom w:val="single" w:color="3B6D11" w:sz="8" w:space="0"/>
              <w:right w:val="single" w:color="3B6D11" w:sz="8" w:space="0"/>
            </w:tcBorders>
            <w:shd w:fill="3B6D11"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STEP-BY-STEP PROCESS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1</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Verify 40% Advance Received</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When buyer remittance copy arrives — do NOT confirm to Sales immediately. Check NexaCrest SBI NetBanking or bank statement for the actual credit. Confirm the amount matches PI × 0.40 exactly (within rounding). Check buyer quoted Purpose Code P0103 in their transfer. If P0103 is missing — contact SBI proactively with the PI reference to correctly map the payment.</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Remittance copy is not payment. Funds must be cleared in the account. A short payment means production cannot start until the shortfall is resolved.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PI | Check: CL2 Section 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Do not confirm advance received until funds are CLEARED in SBI account. Never rely on remittance copy alone.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Confirm Clearance to Sales</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Once cleared — send written confirmation to Sales/Documentation: 'Advance of USD [XXXXX] against PI No. [XXXXX] cleared on [DD Month YYYY]. Production may commence.' Record the cleared date in Tab 1, Section 6 of the Order Data Sheet.</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This written confirmation is the official trigger for production start. Verbal confirmation is not sufficient.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1, Section 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2b</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Payment Dispute Protocol — If Buyer Disputes Terms Mid-Order</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If a buyer disputes payment terms, questions the balance amount, or refuses to pay — take these steps immediately: STOP all production, packing and shipment activity. Inform MD same day. Do not agree to any change without written MD approval. Reply to buyer by email within 24 hours citing the Payment Terms Finality clause — state the terms are fixed and binding as per the accepted PI. If buyer threatens any public action — reply immediately citing the Dispute Resolution &amp; Public Communications clause — state that any dispute must follow the written notice process agreed in the commercial documents. Preserve all evidence: screenshot every message, save every email, file the complete order document set. Hand the complete file to MD for next steps.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Every hour without a formal written response to a dispute gives the other party more room to act. A prompt written response citing specific clauses tells the buyer — and any third party who later reviews the matter — that NexaCrest acted professionally, by the book, and in good faith throughout.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Complete order file + MD escalation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2c</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Post-Dispute Closure</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Once a dispute is resolved — confirm resolution in writing to the buyer by email. If the buyer made any public statement during the dispute — require written confirmation of its removal as a condition of finalising resolution before resuming any commercial activity. Record the outcome in the order file. MD decides whether to continue the commercial relationship with this buyer.</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A verbal resolution is not a resolution. Written confirmation of closure creates a clean record and prevents the same issue being reopened later.</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Written closure email + order file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3</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Issue Freight Debit Note (CFR/CIF orders only)</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For FOB orders — skip this step entirely. For CFR/CIF — obtain confirmed freight rate from shipping line/freight forwarder. Fill NexaCrest_06_FreightDebitNote.docx using Order Data Sheet Tab 1. Assign FDN number (SC/FDN/YYYY/DDMMNNN Rev.00). Verify P0602 is shown for buyer. Payment deadline: 3 working days. Sign and seal. Send to buyer.</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Freight must be confirmed and collected before shipment booking. NexaCrest cannot book the container until freight is cleared — the shipping line will not release a booking without payment.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06 Freight Debit Note | Check: CL2 Section 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4</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Verify Freight Payment Cleared</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When buyer pays the FDN — verify it is CLEARED in SBI (not just remittance received). Check buyer quoted P0602. Record cleared date in Order Data Sheet. Confirm to Logistics: 'Freight of USD [XXXXX] against FDN No. [XXXXX] cleared on [DD Month YYYY]. Shipment booking may proceed.'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shipping line will not release a booking until NexaCrest confirms freight is settled. This gate protects NexaCrest from bearing freight costs if the buyer defaults.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1, Section 6 | Check: CL2 Section 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Freight must be CLEARED before shipment booking is confirmed. Confirm clearance in writing to Logistics.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5</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Verify CI Values Before Issue</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Before CI is issued — verify: CI FOB Value ≤ PI FOB Value. Actual quantity shipped ≤ PI quantity. If shipped short (≤5%) — CI is on actuals, buyer already notified. If short &gt;5% — PI amendment and buyer written approval required before CI is issued. Verify: 40% advance deducted correctly. FDN amount deducted (if CFR/CIF). Balance = FOB Value minus advance. Verification row arithmetic must balance exactly.</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CI is a legal export document filed with Indian customs. Errors are costly to correct after issue. The CI value determines IGST refund eligibility.</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05 Commercial Invoice | Check: CL2 Section 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6</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Track 60% Balance — 7-Day Window</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The moment scanned BL copy is sent to buyer — start the 7-day countdown. Record BL date in Order Data Sheet. Follow up on Day 5 if payment not received. When payment arrives — verify cleared in SBI. Check buyer quoted P0102. Confirm to Logistics: '60% balance of USD [XXXXX] against CI No. [XXXXX] cleared on [DD Month YYYY]. BL originals may be endorsed and released.'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7-day window is a commercial term — not a guideline. If balance is not received within 7 days, escalate to MD before taking any further action.</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CL2 Section 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Do NOT instruct Logistics to endorse or release BL originals until 60% balance is confirmed CLEARED in SBI.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7</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Annual Compliance — LUT &amp; RCMC</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3B6D11"/>
                <w:sz w:val="17"/>
                <w:szCs w:val="17"/>
              </w:rPr>
              <w:t xml:space="preserve">WHAT: </w:t>
            </w:r>
            <w:r>
              <w:rPr>
                <w:rFonts w:ascii="Arial" w:cs="Arial" w:eastAsia="Arial" w:hAnsi="Arial"/>
                <w:sz w:val="17"/>
                <w:szCs w:val="17"/>
              </w:rPr>
              <w:t xml:space="preserve">LUT: must be renewed before 1 April every year. Update the LUT Order No. on all document templates immediately after renewal. RCMC: check expiry 60 days before due date. Initiate renewal with CAPEXIL. An expired RCMC means COO cannot be issued — shipment documents are incomplete.</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An expired LUT means exports cannot be zero-rated under GST. An expired RCMC means COO cannot be issued and the buyer cannot clear customs.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CL2 Section E</w:t>
            </w:r>
          </w:p>
        </w:tc>
      </w:tr>
    </w:tbl>
    <w:p>
      <w:pPr>
        <w:spacing w:after="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COMMON MISTAKES TO AVOID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Confirming advance cleared based on remittance copy — always verify on bank statement</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Forgetting to check RBI Purpose Code on buyer remittances — missing codes cause SBI to hold payments</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Issuing FDN with estimated freight — always get confirmed rate from shipping line first</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Releasing BL endorsement instruction before 60% balance is cleared</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Missing LUT renewal before 1 April — zero-rated export status lapses immediately</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Not following up on Day 5 of the 7-day balance window</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2026-09-17T09:57:15.178Z</dcterms:created>
  <dcterms:modified xsi:type="dcterms:W3CDTF">2026-09-17T09:57:15.178Z</dcterms:modified>
</cp:coreProperties>
</file>

<file path=docProps/custom.xml><?xml version="1.0" encoding="utf-8"?>
<Properties xmlns="http://schemas.openxmlformats.org/officeDocument/2006/custom-properties" xmlns:vt="http://schemas.openxmlformats.org/officeDocument/2006/docPropsVTypes"/>
</file>