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24" w:space="0"/>
              <w:left w:val="single" w:color="17233A" w:sz="24" w:space="0"/>
              <w:bottom w:val="single" w:color="17233A" w:sz="24" w:space="0"/>
              <w:right w:val="single" w:color="17233A" w:sz="24" w:space="0"/>
            </w:tcBorders>
            <w:shd w:fill="17233A" w:val="clear"/>
            <w:tcMar>
              <w:top w:type="dxa" w:w="160"/>
              <w:left w:type="dxa" w:w="240"/>
              <w:bottom w:type="dxa" w:w="140"/>
              <w:right w:type="dxa" w:w="240"/>
            </w:tcMar>
          </w:tcPr>
          <w:p>
            <w:pPr>
              <w:spacing w:after="0"/>
              <w:jc w:val="center"/>
            </w:pPr>
            <w:r>
              <w:rPr>
                <w:rFonts w:ascii="Arial" w:cs="Arial" w:eastAsia="Arial" w:hAnsi="Arial"/>
                <w:b/>
                <w:bCs/>
                <w:color w:val="FFFFFF"/>
                <w:sz w:val="22"/>
                <w:szCs w:val="22"/>
              </w:rPr>
              <w:t xml:space="preserve">NEXACREST INTERNATIONAL PRIVATE LIMITED</w:t>
            </w:r>
          </w:p>
          <w:p>
            <w:pPr>
              <w:spacing w:after="40"/>
            </w:pPr>
          </w:p>
          <w:p>
            <w:pPr>
              <w:spacing w:after="0"/>
              <w:jc w:val="center"/>
            </w:pPr>
            <w:r>
              <w:rPr>
                <w:rFonts w:ascii="Arial" w:cs="Arial" w:eastAsia="Arial" w:hAnsi="Arial"/>
                <w:b/>
                <w:bCs/>
                <w:color w:val="FFFFFF"/>
                <w:sz w:val="28"/>
                <w:szCs w:val="28"/>
              </w:rPr>
              <w:t xml:space="preserve">SOP 05 — ANNUAL COMPLIANCE</w:t>
            </w:r>
          </w:p>
          <w:p>
            <w:pPr>
              <w:spacing w:after="40"/>
            </w:pPr>
          </w:p>
          <w:p>
            <w:pPr>
              <w:spacing w:after="0"/>
              <w:jc w:val="center"/>
            </w:pPr>
            <w:r>
              <w:rPr>
                <w:rFonts w:ascii="Arial" w:cs="Arial" w:eastAsia="Arial" w:hAnsi="Arial"/>
                <w:b/>
                <w:bCs/>
                <w:color w:val="AAAACC"/>
                <w:sz w:val="18"/>
                <w:szCs w:val="18"/>
              </w:rPr>
              <w:t xml:space="preserve">LUT Renewal, RCMC, Bank Mandate &amp; Annual Reviews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c>
          <w:tcPr>
            <w:tcW w:type="dxa" w:w="2698"/>
            <w:tcBorders>
              <w:top w:val="single" w:color="A32D2D" w:sz="12" w:space="0"/>
              <w:left w:val="single" w:color="A32D2D" w:sz="12" w:space="0"/>
              <w:bottom w:val="single" w:color="A32D2D" w:sz="12" w:space="0"/>
              <w:right w:val="single" w:color="A32D2D" w:sz="12" w:space="0"/>
            </w:tcBorders>
            <w:shd w:fill="A32D2D" w:val="clear"/>
            <w:tcMar>
              <w:top w:type="dxa" w:w="80"/>
              <w:left w:type="dxa" w:w="140"/>
              <w:bottom w:type="dxa" w:w="80"/>
              <w:right w:type="dxa" w:w="100"/>
            </w:tcMar>
          </w:tcPr>
          <w:p>
            <w:pPr>
              <w:spacing w:after="0"/>
              <w:jc w:val="left"/>
            </w:pPr>
            <w:r>
              <w:rPr>
                <w:rFonts w:ascii="Arial" w:cs="Arial" w:eastAsia="Arial" w:hAnsi="Arial"/>
                <w:b/>
                <w:bCs/>
                <w:color w:val="FFFFFF"/>
                <w:sz w:val="18"/>
                <w:szCs w:val="18"/>
              </w:rPr>
              <w:t xml:space="preserve">FOR</w:t>
            </w:r>
          </w:p>
        </w:tc>
        <w:tc>
          <w:tcPr>
            <w:tcW w:type="dxa" w:w="6940"/>
            <w:tcBorders>
              <w:top w:val="single" w:color="A32D2D" w:sz="8" w:space="0"/>
              <w:left w:val="single" w:color="A32D2D" w:sz="8" w:space="0"/>
              <w:bottom w:val="single" w:color="A32D2D" w:sz="8" w:space="0"/>
              <w:right w:val="single" w:color="A32D2D" w:sz="8" w:space="0"/>
            </w:tcBorders>
            <w:shd w:fill="FBEAEA" w:val="clear"/>
            <w:tcMar>
              <w:top w:type="dxa" w:w="80"/>
              <w:left w:type="dxa" w:w="140"/>
              <w:bottom w:type="dxa" w:w="80"/>
              <w:right w:type="dxa" w:w="140"/>
            </w:tcMar>
          </w:tcPr>
          <w:p>
            <w:pPr>
              <w:spacing w:after="0"/>
              <w:jc w:val="left"/>
            </w:pPr>
            <w:r>
              <w:rPr>
                <w:rFonts w:ascii="Arial" w:cs="Arial" w:eastAsia="Arial" w:hAnsi="Arial"/>
                <w:b/>
                <w:bCs/>
                <w:color w:val="A32D2D"/>
                <w:sz w:val="18"/>
                <w:szCs w:val="18"/>
              </w:rPr>
              <w:t xml:space="preserve">MD / Accounts Officer / Documentation Officer</w:t>
            </w:r>
          </w:p>
        </w:tc>
      </w:tr>
      <w:tr>
        <w:tc>
          <w:tcPr>
            <w:tcW w:type="dxa" w:w="2698"/>
            <w:tcBorders>
              <w:top w:val="single" w:color="A32D2D" w:sz="8" w:space="0"/>
              <w:left w:val="single" w:color="A32D2D" w:sz="8" w:space="0"/>
              <w:bottom w:val="single" w:color="A32D2D" w:sz="8" w:space="0"/>
              <w:right w:val="single" w:color="A32D2D" w:sz="8" w:space="0"/>
            </w:tcBorders>
            <w:shd w:fill="F1F5F9" w:val="clear"/>
            <w:tcMar>
              <w:top w:type="dxa" w:w="80"/>
              <w:left w:type="dxa" w:w="140"/>
              <w:bottom w:type="dxa" w:w="80"/>
              <w:right w:type="dxa" w:w="100"/>
            </w:tcMar>
          </w:tcPr>
          <w:p>
            <w:pPr>
              <w:spacing w:after="0"/>
              <w:jc w:val="left"/>
            </w:pPr>
            <w:r>
              <w:rPr>
                <w:rFonts w:ascii="Arial" w:cs="Arial" w:eastAsia="Arial" w:hAnsi="Arial"/>
                <w:b/>
                <w:bCs/>
                <w:color w:val="17233A"/>
                <w:sz w:val="16"/>
                <w:szCs w:val="16"/>
              </w:rPr>
              <w:t xml:space="preserve">TOOLS &amp; DOCS</w:t>
            </w:r>
          </w:p>
        </w:tc>
        <w:tc>
          <w:tcPr>
            <w:tcW w:type="dxa" w:w="6940"/>
            <w:tcBorders>
              <w:top w:val="single" w:color="A32D2D" w:sz="8" w:space="0"/>
              <w:left w:val="single" w:color="A32D2D" w:sz="8" w:space="0"/>
              <w:bottom w:val="single" w:color="A32D2D" w:sz="8" w:space="0"/>
              <w:right w:val="single" w:color="A32D2D" w:sz="8" w:space="0"/>
            </w:tcBorders>
            <w:shd w:fill="FFFFFF" w:val="clear"/>
            <w:tcMar>
              <w:top w:type="dxa" w:w="80"/>
              <w:left w:type="dxa" w:w="140"/>
              <w:bottom w:type="dxa" w:w="80"/>
              <w:right w:type="dxa" w:w="140"/>
            </w:tcMar>
          </w:tcPr>
          <w:p>
            <w:pPr>
              <w:spacing w:after="0"/>
              <w:jc w:val="left"/>
            </w:pPr>
            <w:r>
              <w:rPr>
                <w:rFonts w:ascii="Arial" w:cs="Arial" w:eastAsia="Arial" w:hAnsi="Arial"/>
                <w:color w:val="333333"/>
                <w:sz w:val="16"/>
                <w:szCs w:val="16"/>
              </w:rPr>
              <w:t xml:space="preserve">GST Portal · CAPEXIL · SBI Branch · All document templates</w:t>
            </w:r>
          </w:p>
        </w:tc>
      </w:tr>
      <w:tr>
        <w:tc>
          <w:tcPr>
            <w:tcW w:type="dxa" w:w="2698"/>
            <w:tcBorders>
              <w:top w:val="single" w:color="A32D2D" w:sz="8" w:space="0"/>
              <w:left w:val="single" w:color="A32D2D" w:sz="8" w:space="0"/>
              <w:bottom w:val="single" w:color="A32D2D" w:sz="8" w:space="0"/>
              <w:right w:val="single" w:color="A32D2D" w:sz="8" w:space="0"/>
            </w:tcBorders>
            <w:shd w:fill="F1F5F9" w:val="clear"/>
            <w:tcMar>
              <w:top w:type="dxa" w:w="80"/>
              <w:left w:type="dxa" w:w="140"/>
              <w:bottom w:type="dxa" w:w="80"/>
              <w:right w:type="dxa" w:w="100"/>
            </w:tcMar>
          </w:tcPr>
          <w:p>
            <w:pPr>
              <w:spacing w:after="0"/>
              <w:jc w:val="left"/>
            </w:pPr>
            <w:r>
              <w:rPr>
                <w:rFonts w:ascii="Arial" w:cs="Arial" w:eastAsia="Arial" w:hAnsi="Arial"/>
                <w:b/>
                <w:bCs/>
                <w:color w:val="17233A"/>
                <w:sz w:val="16"/>
                <w:szCs w:val="16"/>
              </w:rPr>
              <w:t xml:space="preserve">CHECKLIST</w:t>
            </w:r>
          </w:p>
        </w:tc>
        <w:tc>
          <w:tcPr>
            <w:tcW w:type="dxa" w:w="6940"/>
            <w:tcBorders>
              <w:top w:val="single" w:color="A32D2D" w:sz="8" w:space="0"/>
              <w:left w:val="single" w:color="A32D2D" w:sz="8" w:space="0"/>
              <w:bottom w:val="single" w:color="A32D2D" w:sz="8" w:space="0"/>
              <w:right w:val="single" w:color="A32D2D" w:sz="8" w:space="0"/>
            </w:tcBorders>
            <w:shd w:fill="FFFFFF" w:val="clear"/>
            <w:tcMar>
              <w:top w:type="dxa" w:w="80"/>
              <w:left w:type="dxa" w:w="140"/>
              <w:bottom w:type="dxa" w:w="80"/>
              <w:right w:type="dxa" w:w="140"/>
            </w:tcMar>
          </w:tcPr>
          <w:p>
            <w:pPr>
              <w:spacing w:after="0"/>
              <w:jc w:val="left"/>
            </w:pPr>
            <w:r>
              <w:rPr>
                <w:rFonts w:ascii="Arial" w:cs="Arial" w:eastAsia="Arial" w:hAnsi="Arial"/>
                <w:color w:val="333333"/>
                <w:sz w:val="16"/>
                <w:szCs w:val="16"/>
              </w:rPr>
              <w:t xml:space="preserve">Cross-Verification Checklist 2, Section 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8" w:space="0"/>
              <w:bottom w:val="single" w:color="A32D2D" w:sz="8" w:space="0"/>
              <w:right w:val="single" w:color="A32D2D" w:sz="8" w:space="0"/>
            </w:tcBorders>
            <w:shd w:fill="A32D2D"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PURPOSE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8" w:space="0"/>
              <w:bottom w:val="single" w:color="A32D2D" w:sz="8" w:space="0"/>
              <w:right w:val="single" w:color="A32D2D" w:sz="8" w:space="0"/>
            </w:tcBorders>
            <w:shd w:fill="FBEAEA" w:val="clear"/>
            <w:tcMar>
              <w:top w:type="dxa" w:w="100"/>
              <w:left w:type="dxa" w:w="180"/>
              <w:bottom w:type="dxa" w:w="100"/>
              <w:right w:type="dxa" w:w="180"/>
            </w:tcMar>
          </w:tcPr>
          <w:p>
            <w:pPr>
              <w:spacing w:after="0"/>
              <w:jc w:val="left"/>
            </w:pPr>
            <w:r>
              <w:rPr>
                <w:rFonts w:ascii="Arial" w:cs="Arial" w:eastAsia="Arial" w:hAnsi="Arial"/>
                <w:sz w:val="18"/>
                <w:szCs w:val="18"/>
              </w:rPr>
              <w:t xml:space="preserve">This SOP covers all annual compliance renewals and reviews required to keep NexaCrest's export operations running without interruption. Missing any of these deadlines has immediate impact on live orders.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8" w:space="0"/>
              <w:bottom w:val="single" w:color="A32D2D" w:sz="8" w:space="0"/>
              <w:right w:val="single" w:color="A32D2D" w:sz="8" w:space="0"/>
            </w:tcBorders>
            <w:shd w:fill="A32D2D"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ANNUAL COMPLIANCE CALENDAR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1</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LUT Renewal — Before 1 April Every Year</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A32D2D"/>
                <w:sz w:val="17"/>
                <w:szCs w:val="17"/>
              </w:rPr>
              <w:t xml:space="preserve">WHAT: </w:t>
            </w:r>
            <w:r>
              <w:rPr>
                <w:rFonts w:ascii="Arial" w:cs="Arial" w:eastAsia="Arial" w:hAnsi="Arial"/>
                <w:sz w:val="17"/>
                <w:szCs w:val="17"/>
              </w:rPr>
              <w:t xml:space="preserve">Letter of Undertaking allows NexaCrest to export without paying IGST (zero-rated export). It expires on 31 March every year. Action: Log in to GST Portal (gst.gov.in). Navigate to Services → User Services → Furnish Letter of Undertaking. File the LUT for the new FY. Note the new LUT Order Number. Update the LUT Order Number on ALL document templates immediately: PI, CI, and any other document showing the LUT number. File the new LUT confirmation and keep on record.</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If LUT expires — NexaCrest must pay 18% IGST on export value upfront and claim refund later. This severely impacts cash flow on large orders. An expired LUT also invalidates the zero-rated declaration on all CIs issued after 31 March.</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Deadline: 31 March | Action Owner: MD / Accounts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LUT must be renewed BEFORE 31 March. After renewal — update LUT number on ALL templates on 1 April.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2</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RCMC Renewal — 60 Days Before Expiry</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A32D2D"/>
                <w:sz w:val="17"/>
                <w:szCs w:val="17"/>
              </w:rPr>
              <w:t xml:space="preserve">WHAT: </w:t>
            </w:r>
            <w:r>
              <w:rPr>
                <w:rFonts w:ascii="Arial" w:cs="Arial" w:eastAsia="Arial" w:hAnsi="Arial"/>
                <w:sz w:val="17"/>
                <w:szCs w:val="17"/>
              </w:rPr>
              <w:t xml:space="preserve">RCMC (Registration-cum-Membership Certificate) from CAPEXIL is required to obtain a Certificate of Origin. Check the RCMC expiry date 60 days before it is due. Initiate renewal with CAPEXIL before expiry. CAPEXIL will issue the renewed RCMC. Update the RCMC number on the COO Prep Sheet template.</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An expired RCMC means CAPEXIL cannot issue a COO for any shipment. Without a COO — the buyer cannot claim preferential duty at destination (GSP Form A). Shipment documents are incomplete.</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Action Owner: Documentation Officer | Check: 60 days before expiry</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RCMC renewal must be initiated 60 days before expiry. An expired RCMC stops all COO issuance.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3</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SBI Bank Mandate Annual Review</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A32D2D"/>
                <w:sz w:val="17"/>
                <w:szCs w:val="17"/>
              </w:rPr>
              <w:t xml:space="preserve">WHAT: </w:t>
            </w:r>
            <w:r>
              <w:rPr>
                <w:rFonts w:ascii="Arial" w:cs="Arial" w:eastAsia="Arial" w:hAnsi="Arial"/>
                <w:sz w:val="17"/>
                <w:szCs w:val="17"/>
              </w:rPr>
              <w:t xml:space="preserve">At the start of each FY — confirm with SBI Start Up Hub Branch that the authorised signatories on Current Account No. 44523788330 are correctly recorded. Current signatories: Gulmohar Bhagwat Sontakke AND Arti Gulmohar Sontakke. Confirm the operating mode (Either/Or). If any change is needed — submit a Board Resolution and updated KYC to the branch.</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bank mandate determines who can authorise outward payments and receive inward remittances. An incorrect mandate can delay payments or create complications with inward foreign remittances.</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Action Owner: MD | Branch: SBI Start Up Hub, Koramangala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4</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Document Template Review — 1 April Every Year</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A32D2D"/>
                <w:sz w:val="17"/>
                <w:szCs w:val="17"/>
              </w:rPr>
              <w:t xml:space="preserve">WHAT: </w:t>
            </w:r>
            <w:r>
              <w:rPr>
                <w:rFonts w:ascii="Arial" w:cs="Arial" w:eastAsia="Arial" w:hAnsi="Arial"/>
                <w:sz w:val="17"/>
                <w:szCs w:val="17"/>
              </w:rPr>
              <w:t xml:space="preserve">On 1 April every year — review all NexaCrest document templates for the following: LUT Order Number updated on PI and CI. RCMC updated on COO Prep Sheet. Any change in GSTIN, IEC, bank details, SWIFT code — update across all templates. Any change in company address — update across all templates. Save and redistribute updated templates to all team members.</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Outdated information on documents causes rejection by customs, banks, and government agencies. A one-hour review on 1 April prevents months of problems.</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Action Owner: Documentation Officer | Distribute to: all team members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5</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Women Entrepreneur Benefits — Udyam &amp; Bank</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A32D2D"/>
                <w:sz w:val="17"/>
                <w:szCs w:val="17"/>
              </w:rPr>
              <w:t xml:space="preserve">WHAT: </w:t>
            </w:r>
            <w:r>
              <w:rPr>
                <w:rFonts w:ascii="Arial" w:cs="Arial" w:eastAsia="Arial" w:hAnsi="Arial"/>
                <w:sz w:val="17"/>
                <w:szCs w:val="17"/>
              </w:rPr>
              <w:t xml:space="preserve">Udyam Registration: Ensure Arti Gulmohar Sontakke is registered as the primary owner (51% shareholding) on Udyam. This is the single most important document for MSME women entrepreneur benefits. Review annually that the registration details are current. Bank Mandate: Ensure Arti Gulmohar Sontakke's name is listed as Either/Or authorised signatory on the SBI account. Both registrations together qualify NexaCrest for women-led enterprise loan benefits and government schemes.</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Women entrepreneur benefits (CGTMSE, Mudra, NSIC, preferential tenders) require documented evidence of women's active involvement. Udyam and bank mandate are the primary evidence.</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Action Owner: MD | Check: annually</w:t>
            </w:r>
          </w:p>
        </w:tc>
      </w:tr>
    </w:tbl>
    <w:p>
      <w:pPr>
        <w:spacing w:after="8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8" w:space="0"/>
              <w:bottom w:val="single" w:color="A32D2D" w:sz="8" w:space="0"/>
              <w:right w:val="single" w:color="A32D2D" w:sz="8" w:space="0"/>
            </w:tcBorders>
            <w:shd w:fill="A32D2D"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ANNUAL COMPLIANCE CHECKLIST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8" w:space="0"/>
              <w:bottom w:val="single" w:color="A32D2D" w:sz="8" w:space="0"/>
              <w:right w:val="single" w:color="A32D2D" w:sz="8" w:space="0"/>
            </w:tcBorders>
            <w:shd w:fill="FBEAEA" w:val="clear"/>
            <w:tcMar>
              <w:top w:type="dxa" w:w="100"/>
              <w:left w:type="dxa" w:w="180"/>
              <w:bottom w:type="dxa" w:w="100"/>
              <w:right w:type="dxa" w:w="180"/>
            </w:tcMar>
          </w:tcPr>
          <w:p>
            <w:pPr>
              <w:spacing w:after="0"/>
              <w:jc w:val="left"/>
            </w:pPr>
            <w:r>
              <w:rPr>
                <w:rFonts w:ascii="Arial" w:cs="Arial" w:eastAsia="Arial" w:hAnsi="Arial"/>
                <w:sz w:val="17"/>
                <w:szCs w:val="17"/>
              </w:rPr>
              <w:t xml:space="preserve">☐  LUT renewed before 31 March — new Order No. updated on all templates</w:t>
            </w:r>
          </w:p>
          <w:p>
            <w:pPr>
              <w:spacing w:after="40"/>
            </w:pPr>
          </w:p>
          <w:p>
            <w:pPr>
              <w:spacing w:after="0"/>
              <w:jc w:val="left"/>
            </w:pPr>
            <w:r>
              <w:rPr>
                <w:rFonts w:ascii="Arial" w:cs="Arial" w:eastAsia="Arial" w:hAnsi="Arial"/>
                <w:sz w:val="17"/>
                <w:szCs w:val="17"/>
              </w:rPr>
              <w:t xml:space="preserve">☐  RCMC renewal initiated 60 days before expiry</w:t>
            </w:r>
          </w:p>
          <w:p>
            <w:pPr>
              <w:spacing w:after="40"/>
            </w:pPr>
          </w:p>
          <w:p>
            <w:pPr>
              <w:spacing w:after="0"/>
              <w:jc w:val="left"/>
            </w:pPr>
            <w:r>
              <w:rPr>
                <w:rFonts w:ascii="Arial" w:cs="Arial" w:eastAsia="Arial" w:hAnsi="Arial"/>
                <w:sz w:val="17"/>
                <w:szCs w:val="17"/>
              </w:rPr>
              <w:t xml:space="preserve">☐  SBI bank mandate confirmed — signatories and operating mode correct</w:t>
            </w:r>
          </w:p>
          <w:p>
            <w:pPr>
              <w:spacing w:after="40"/>
            </w:pPr>
          </w:p>
          <w:p>
            <w:pPr>
              <w:spacing w:after="0"/>
              <w:jc w:val="left"/>
            </w:pPr>
            <w:r>
              <w:rPr>
                <w:rFonts w:ascii="Arial" w:cs="Arial" w:eastAsia="Arial" w:hAnsi="Arial"/>
                <w:sz w:val="17"/>
                <w:szCs w:val="17"/>
              </w:rPr>
              <w:t xml:space="preserve">☐  All document templates reviewed and updated on 1 April</w:t>
            </w:r>
          </w:p>
          <w:p>
            <w:pPr>
              <w:spacing w:after="40"/>
            </w:pPr>
          </w:p>
          <w:p>
            <w:pPr>
              <w:spacing w:after="0"/>
              <w:jc w:val="left"/>
            </w:pPr>
            <w:r>
              <w:rPr>
                <w:rFonts w:ascii="Arial" w:cs="Arial" w:eastAsia="Arial" w:hAnsi="Arial"/>
                <w:sz w:val="17"/>
                <w:szCs w:val="17"/>
              </w:rPr>
              <w:t xml:space="preserve">☐  Udyam Registration confirmed — Arti Gulmohar Sontakke as primary owner</w:t>
            </w:r>
          </w:p>
          <w:p>
            <w:pPr>
              <w:spacing w:after="40"/>
            </w:pPr>
          </w:p>
          <w:p>
            <w:pPr>
              <w:spacing w:after="0"/>
              <w:jc w:val="left"/>
            </w:pPr>
            <w:r>
              <w:rPr>
                <w:rFonts w:ascii="Arial" w:cs="Arial" w:eastAsia="Arial" w:hAnsi="Arial"/>
                <w:sz w:val="17"/>
                <w:szCs w:val="17"/>
              </w:rPr>
              <w:t xml:space="preserve">☐  CA consulted on any changes to GST treatment, FDN, or export incentives</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2026-09-17T09:57:15.246Z</dcterms:created>
  <dcterms:modified xsi:type="dcterms:W3CDTF">2026-09-17T09:57:15.246Z</dcterms:modified>
</cp:coreProperties>
</file>

<file path=docProps/custom.xml><?xml version="1.0" encoding="utf-8"?>
<Properties xmlns="http://schemas.openxmlformats.org/officeDocument/2006/custom-properties" xmlns:vt="http://schemas.openxmlformats.org/officeDocument/2006/docPropsVTypes"/>
</file>