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7233A" w:sz="24" w:space="0"/>
              <w:left w:val="single" w:color="17233A" w:sz="24" w:space="0"/>
              <w:bottom w:val="single" w:color="17233A" w:sz="24" w:space="0"/>
              <w:right w:val="single" w:color="17233A" w:sz="24" w:space="0"/>
            </w:tcBorders>
            <w:shd w:fill="17233A" w:val="clear"/>
            <w:tcMar>
              <w:top w:type="dxa" w:w="160"/>
              <w:left w:type="dxa" w:w="240"/>
              <w:bottom w:type="dxa" w:w="140"/>
              <w:right w:type="dxa" w:w="240"/>
            </w:tcMar>
          </w:tcPr>
          <w:p>
            <w:pPr>
              <w:spacing w:after="40"/>
              <w:jc w:val="center"/>
            </w:pPr>
            <w:r>
              <w:rPr>
                <w:rFonts w:ascii="Arial" w:cs="Arial" w:eastAsia="Arial" w:hAnsi="Arial"/>
                <w:b/>
                <w:bCs/>
                <w:color w:val="FFFFFF"/>
                <w:sz w:val="22"/>
                <w:szCs w:val="22"/>
              </w:rPr>
              <w:t xml:space="preserve">NEXACREST INTERNATIONAL PRIVATE LIMITED</w:t>
            </w:r>
          </w:p>
          <w:p>
            <w:pPr>
              <w:spacing w:after="40"/>
              <w:jc w:val="center"/>
            </w:pPr>
            <w:r>
              <w:rPr>
                <w:rFonts w:ascii="Arial" w:cs="Arial" w:eastAsia="Arial" w:hAnsi="Arial"/>
                <w:b/>
                <w:bCs/>
                <w:color w:val="FFFFFF"/>
                <w:sz w:val="28"/>
                <w:szCs w:val="28"/>
              </w:rPr>
              <w:t xml:space="preserve">SOP 01 — SALES &amp; DOCUMENTATION</w:t>
            </w:r>
          </w:p>
          <w:p>
            <w:pPr>
              <w:spacing w:after="40"/>
              <w:jc w:val="center"/>
            </w:pPr>
            <w:r>
              <w:rPr>
                <w:rFonts w:ascii="Arial" w:cs="Arial" w:eastAsia="Arial" w:hAnsi="Arial"/>
                <w:b/>
                <w:bCs/>
                <w:color w:val="AAAACC"/>
                <w:sz w:val="18"/>
                <w:szCs w:val="18"/>
              </w:rPr>
              <w:t xml:space="preserve">From Buyer Enquiry to Order Confirmation — Full Guide</w:t>
            </w:r>
          </w:p>
          <w:p>
            <w:pPr>
              <w:spacing w:after="0"/>
              <w:jc w:val="center"/>
            </w:pPr>
            <w:r>
              <w:rPr>
                <w:rFonts w:ascii="Arial" w:cs="Arial" w:eastAsia="Arial" w:hAnsi="Arial"/>
                <w:b/>
                <w:bCs/>
                <w:color w:val="EF9F27"/>
                <w:sz w:val="16"/>
                <w:szCs w:val="16"/>
              </w:rPr>
              <w:t xml:space="preserve">FORMAT B — FULL GUIDE WITH EXAMPLES &amp; CONSEQUENCES</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854F0B" w:sz="12" w:space="0"/>
              <w:left w:val="single" w:color="854F0B" w:sz="12" w:space="0"/>
              <w:bottom w:val="single" w:color="854F0B" w:sz="12" w:space="0"/>
              <w:right w:val="single" w:color="854F0B" w:sz="12" w:space="0"/>
            </w:tcBorders>
            <w:shd w:fill="FFF3CD" w:val="clear"/>
            <w:tcMar>
              <w:top w:type="dxa" w:w="100"/>
              <w:left w:type="dxa" w:w="180"/>
              <w:bottom w:type="dxa" w:w="100"/>
              <w:right w:type="dxa" w:w="180"/>
            </w:tcMar>
          </w:tcPr>
          <w:p>
            <w:pPr>
              <w:spacing w:after="120"/>
              <w:jc w:val="left"/>
            </w:pPr>
            <w:r>
              <w:rPr>
                <w:rFonts w:ascii="Arial" w:cs="Arial" w:eastAsia="Arial" w:hAnsi="Arial"/>
                <w:b/>
                <w:bCs/>
                <w:color w:val="854F0B"/>
                <w:sz w:val="19"/>
                <w:szCs w:val="19"/>
              </w:rPr>
              <w:t xml:space="preserve">📖  HOW TO USE THIS DOCUMENT: </w:t>
            </w:r>
            <w:r>
              <w:rPr>
                <w:rFonts w:ascii="Arial" w:cs="Arial" w:eastAsia="Arial" w:hAnsi="Arial"/>
                <w:color w:val="412402"/>
                <w:sz w:val="18"/>
                <w:szCs w:val="18"/>
              </w:rPr>
              <w:t xml:space="preserve">This is Format B — the full explanation guide. Read this once during onboarding to understand WHY each step exists and what happens when it is skipped. For daily work use Format A (Quick Reference). When Format A says </w:t>
            </w:r>
            <w:r>
              <w:rPr>
                <w:rFonts w:ascii="Arial" w:cs="Arial" w:eastAsia="Arial" w:hAnsi="Arial"/>
                <w:b/>
                <w:bCs/>
                <w:color w:val="854F0B"/>
                <w:sz w:val="18"/>
                <w:szCs w:val="18"/>
              </w:rPr>
              <w:t xml:space="preserve">📖 See Format B, Step X</w:t>
            </w:r>
            <w:r>
              <w:rPr>
                <w:rFonts w:ascii="Arial" w:cs="Arial" w:eastAsia="Arial" w:hAnsi="Arial"/>
                <w:color w:val="412402"/>
                <w:sz w:val="18"/>
                <w:szCs w:val="18"/>
              </w:rPr>
              <w:t xml:space="preserve"> — that is your signal to open this document for deeper context on that specific step.</w:t>
            </w:r>
          </w:p>
        </w:tc>
      </w:tr>
    </w:tbl>
    <w:p>
      <w:pPr>
        <w:spacing w:after="1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85FA5" w:sz="8" w:space="0"/>
              <w:left w:val="single" w:color="185FA5" w:sz="8" w:space="0"/>
              <w:bottom w:val="single" w:color="185FA5" w:sz="8" w:space="0"/>
              <w:right w:val="single" w:color="185FA5" w:sz="8" w:space="0"/>
            </w:tcBorders>
            <w:shd w:fill="185FA5" w:val="clear"/>
            <w:tcMar>
              <w:top w:type="dxa" w:w="80"/>
              <w:left w:type="dxa" w:w="160"/>
              <w:bottom w:type="dxa" w:w="80"/>
              <w:right w:type="dxa" w:w="160"/>
            </w:tcMar>
          </w:tcPr>
          <w:p>
            <w:pPr>
              <w:spacing w:after="120"/>
              <w:jc w:val="left"/>
            </w:pPr>
            <w:r>
              <w:rPr>
                <w:rFonts w:ascii="Arial" w:cs="Arial" w:eastAsia="Arial" w:hAnsi="Arial"/>
                <w:b/>
                <w:bCs/>
                <w:color w:val="FFFFFF"/>
                <w:sz w:val="19"/>
                <w:szCs w:val="19"/>
              </w:rPr>
              <w:t xml:space="preserve">WHY THIS SOP EXISTS</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85FA5" w:sz="8" w:space="0"/>
              <w:left w:val="single" w:color="185FA5" w:sz="8" w:space="0"/>
              <w:bottom w:val="single" w:color="185FA5" w:sz="8" w:space="0"/>
              <w:right w:val="single" w:color="185FA5" w:sz="8" w:space="0"/>
            </w:tcBorders>
            <w:shd w:fill="E6F1FB" w:val="clear"/>
            <w:tcMar>
              <w:top w:type="dxa" w:w="100"/>
              <w:left w:type="dxa" w:w="180"/>
              <w:bottom w:type="dxa" w:w="100"/>
              <w:right w:type="dxa" w:w="180"/>
            </w:tcMar>
          </w:tcPr>
          <w:p>
            <w:pPr>
              <w:spacing w:after="120"/>
              <w:jc w:val="left"/>
            </w:pPr>
            <w:r>
              <w:rPr>
                <w:rFonts w:ascii="Arial" w:cs="Arial" w:eastAsia="Arial" w:hAnsi="Arial"/>
                <w:sz w:val="18"/>
                <w:szCs w:val="18"/>
              </w:rPr>
              <w:t xml:space="preserve">Every commercial dispute between an exporter and a buyer starts with one thing: a gap in documentation. A word changed. A term assumed. An acceptance not recorded. A buyer's conflicting PO not caught.</w:t>
            </w:r>
          </w:p>
          <w:p>
            <w:pPr>
              <w:spacing w:after="60"/>
            </w:pPr>
          </w:p>
          <w:p>
            <w:pPr>
              <w:spacing w:after="120"/>
              <w:jc w:val="left"/>
            </w:pPr>
            <w:r>
              <w:rPr>
                <w:rFonts w:ascii="Arial" w:cs="Arial" w:eastAsia="Arial" w:hAnsi="Arial"/>
                <w:b/>
                <w:bCs/>
                <w:sz w:val="18"/>
                <w:szCs w:val="18"/>
              </w:rPr>
              <w:t xml:space="preserve">This SOP exists to make sure none of those gaps exist in a NexaCrest order. Follow every step exactly. The consequences of skipping any step are not administrative — they are financial and reputational.</w:t>
            </w:r>
          </w:p>
        </w:tc>
      </w:tr>
    </w:tbl>
    <w:p>
      <w:pPr>
        <w:spacing w:after="1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85FA5" w:sz="8" w:space="0"/>
              <w:left w:val="single" w:color="185FA5" w:sz="8" w:space="0"/>
              <w:bottom w:val="single" w:color="185FA5" w:sz="8" w:space="0"/>
              <w:right w:val="single" w:color="185FA5" w:sz="8" w:space="0"/>
            </w:tcBorders>
            <w:shd w:fill="185FA5" w:val="clear"/>
            <w:tcMar>
              <w:top w:type="dxa" w:w="80"/>
              <w:left w:type="dxa" w:w="160"/>
              <w:bottom w:type="dxa" w:w="80"/>
              <w:right w:type="dxa" w:w="160"/>
            </w:tcMar>
          </w:tcPr>
          <w:p>
            <w:pPr>
              <w:spacing w:after="120"/>
              <w:jc w:val="left"/>
            </w:pPr>
            <w:r>
              <w:rPr>
                <w:rFonts w:ascii="Arial" w:cs="Arial" w:eastAsia="Arial" w:hAnsi="Arial"/>
                <w:b/>
                <w:bCs/>
                <w:color w:val="FFFFFF"/>
                <w:sz w:val="19"/>
                <w:szCs w:val="19"/>
              </w:rPr>
              <w:t xml:space="preserve">STEP-BY-STEP PROCESS — WITH FULL EXPLANATION</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9038"/>
      </w:tblGrid>
      <w:tr>
        <w:tc>
          <w:tcPr>
            <w:tcW w:type="dxa" w:w="600"/>
            <w:tcBorders>
              <w:top w:val="single" w:color="185FA5" w:sz="16" w:space="0"/>
              <w:left w:val="single" w:color="185FA5" w:sz="16" w:space="0"/>
              <w:bottom w:val="single" w:color="185FA5" w:sz="4" w:space="0"/>
              <w:right w:val="single" w:color="185FA5" w:sz="4" w:space="0"/>
            </w:tcBorders>
            <w:shd w:fill="185FA5" w:val="clear"/>
            <w:tcMar>
              <w:top w:type="dxa" w:w="80"/>
              <w:left w:type="dxa" w:w="100"/>
              <w:bottom w:type="dxa" w:w="60"/>
              <w:right w:type="dxa" w:w="80"/>
            </w:tcMar>
          </w:tcPr>
          <w:p>
            <w:pPr>
              <w:spacing w:after="120"/>
              <w:jc w:val="center"/>
            </w:pPr>
            <w:r>
              <w:rPr>
                <w:rFonts w:ascii="Arial" w:cs="Arial" w:eastAsia="Arial" w:hAnsi="Arial"/>
                <w:b/>
                <w:bCs/>
                <w:color w:val="FFFFFF"/>
                <w:sz w:val="24"/>
                <w:szCs w:val="24"/>
              </w:rPr>
              <w:t xml:space="preserve">STEP 1</w:t>
            </w:r>
          </w:p>
        </w:tc>
        <w:tc>
          <w:tcPr>
            <w:tcW w:type="dxa" w:w="9038"/>
            <w:tcBorders>
              <w:top w:val="single" w:color="185FA5" w:sz="16" w:space="0"/>
              <w:left w:val="single" w:color="185FA5" w:sz="4" w:space="0"/>
              <w:bottom w:val="single" w:color="185FA5" w:sz="4" w:space="0"/>
              <w:right w:val="single" w:color="185FA5" w:sz="16" w:space="0"/>
            </w:tcBorders>
            <w:shd w:fill="E6F1FB" w:val="clear"/>
            <w:tcMar>
              <w:top w:type="dxa" w:w="80"/>
              <w:left w:type="dxa" w:w="160"/>
              <w:bottom w:type="dxa" w:w="60"/>
              <w:right w:type="dxa" w:w="140"/>
            </w:tcMar>
          </w:tcPr>
          <w:p>
            <w:pPr>
              <w:spacing w:after="120"/>
              <w:jc w:val="left"/>
            </w:pPr>
            <w:r>
              <w:rPr>
                <w:rFonts w:ascii="Arial" w:cs="Arial" w:eastAsia="Arial" w:hAnsi="Arial"/>
                <w:b/>
                <w:bCs/>
                <w:color w:val="17233A"/>
                <w:sz w:val="22"/>
                <w:szCs w:val="22"/>
              </w:rPr>
              <w:t xml:space="preserve">Open Order Data Sheet &amp; Assign Buyer Inquiry REF</w:t>
            </w:r>
          </w:p>
        </w:tc>
      </w:tr>
      <w:tr>
        <w:tc>
          <w:tcPr>
            <w:tcW w:type="dxa" w:w="600"/>
            <w:tcBorders>
              <w:top w:val="single" w:color="185FA5" w:sz="4" w:space="0"/>
              <w:left w:val="single" w:color="185FA5" w:sz="16" w:space="0"/>
              <w:bottom w:val="single" w:color="185FA5" w:sz="4" w:space="0"/>
              <w:right w:val="single" w:color="185FA5" w:sz="4" w:space="0"/>
            </w:tcBorders>
            <w:shd w:fill="185FA5" w:val="clear"/>
          </w:tcPr>
          <w:p>
            <w:pPr>
              <w:spacing w:after="20"/>
            </w:pPr>
          </w:p>
        </w:tc>
        <w:tc>
          <w:tcPr>
            <w:tcW w:type="dxa" w:w="9038"/>
            <w:tcBorders>
              <w:top w:val="single" w:color="185FA5" w:sz="4" w:space="0"/>
              <w:left w:val="single" w:color="185FA5" w:sz="4" w:space="0"/>
              <w:bottom w:val="single" w:color="185FA5" w:sz="4" w:space="0"/>
              <w:right w:val="single" w:color="185FA5" w:sz="16" w:space="0"/>
            </w:tcBorders>
            <w:shd w:fill="FFFFFF" w:val="clear"/>
            <w:tcMar>
              <w:top w:type="dxa" w:w="80"/>
              <w:left w:type="dxa" w:w="160"/>
              <w:bottom w:type="dxa" w:w="80"/>
              <w:right w:type="dxa" w:w="140"/>
            </w:tcMar>
          </w:tcPr>
          <w:p>
            <w:pPr>
              <w:spacing w:after="120"/>
              <w:jc w:val="left"/>
            </w:pPr>
            <w:r>
              <w:rPr>
                <w:rFonts w:ascii="Arial" w:cs="Arial" w:eastAsia="Arial" w:hAnsi="Arial"/>
                <w:b/>
                <w:bCs/>
                <w:color w:val="185FA5"/>
                <w:sz w:val="18"/>
                <w:szCs w:val="18"/>
              </w:rPr>
              <w:t xml:space="preserve">Think of it this way:  </w:t>
            </w:r>
            <w:r>
              <w:rPr>
                <w:rFonts w:ascii="Arial" w:cs="Arial" w:eastAsia="Arial" w:hAnsi="Arial"/>
                <w:i/>
                <w:iCs/>
                <w:color w:val="333333"/>
                <w:sz w:val="18"/>
                <w:szCs w:val="18"/>
              </w:rPr>
              <w:t xml:space="preserve">Think of the Buyer Inquiry REF as the spine of the entire order. Every document — Quotation, PI, OC, PL, CI, FDN, BL — carries this number. If any document is missing it, that document cannot be traced to the order. In a dispute, an untraceable document is a useless document.</w:t>
            </w:r>
          </w:p>
        </w:tc>
      </w:tr>
      <w:tr>
        <w:tc>
          <w:tcPr>
            <w:tcW w:type="dxa" w:w="600"/>
            <w:tcBorders>
              <w:top w:val="single" w:color="185FA5" w:sz="4" w:space="0"/>
              <w:left w:val="single" w:color="185FA5" w:sz="16" w:space="0"/>
              <w:bottom w:val="single" w:color="185FA5" w:sz="4" w:space="0"/>
              <w:right w:val="single" w:color="185FA5" w:sz="4" w:space="0"/>
            </w:tcBorders>
            <w:shd w:fill="185FA5" w:val="clear"/>
          </w:tcPr>
          <w:p>
            <w:pPr>
              <w:spacing w:after="20"/>
            </w:pPr>
          </w:p>
        </w:tc>
        <w:tc>
          <w:tcPr>
            <w:tcW w:type="dxa" w:w="9038"/>
            <w:tcBorders>
              <w:top w:val="single" w:color="185FA5" w:sz="4" w:space="0"/>
              <w:left w:val="single" w:color="185FA5" w:sz="4" w:space="0"/>
              <w:bottom w:val="single" w:color="185FA5" w:sz="4" w:space="0"/>
              <w:right w:val="single" w:color="185FA5" w:sz="16" w:space="0"/>
            </w:tcBorders>
            <w:shd w:fill="F8F8F8" w:val="clear"/>
            <w:tcMar>
              <w:top w:type="dxa" w:w="80"/>
              <w:left w:type="dxa" w:w="160"/>
              <w:bottom w:type="dxa" w:w="80"/>
              <w:right w:type="dxa" w:w="140"/>
            </w:tcMar>
          </w:tcPr>
          <w:p>
            <w:pPr>
              <w:spacing w:after="120"/>
              <w:jc w:val="left"/>
            </w:pPr>
            <w:r>
              <w:rPr>
                <w:rFonts w:ascii="Arial" w:cs="Arial" w:eastAsia="Arial" w:hAnsi="Arial"/>
                <w:b/>
                <w:bCs/>
                <w:color w:val="A32D2D"/>
                <w:sz w:val="18"/>
                <w:szCs w:val="18"/>
              </w:rPr>
              <w:t xml:space="preserve">🔴  WHAT TO DO:  </w:t>
            </w:r>
            <w:r>
              <w:rPr>
                <w:rFonts w:ascii="Arial" w:cs="Arial" w:eastAsia="Arial" w:hAnsi="Arial"/>
                <w:sz w:val="18"/>
                <w:szCs w:val="18"/>
              </w:rPr>
              <w:t xml:space="preserve">The moment an enquiry arrives — open a new copy of NexaCrest_Order_Data_Sheet.xlsx. Rename it with the Buyer Inquiry REF: NC-SC-[YEAR]-[DDMMNNN]_[BuyerName]_Order_Data_Sheet.xlsx. Assign the REF number. Enter it on every document from this point forward.</w:t>
            </w:r>
          </w:p>
        </w:tc>
      </w:tr>
      <w:tr>
        <w:tc>
          <w:tcPr>
            <w:tcW w:type="dxa" w:w="600"/>
            <w:tcBorders>
              <w:top w:val="single" w:color="185FA5" w:sz="4" w:space="0"/>
              <w:left w:val="single" w:color="185FA5" w:sz="16" w:space="0"/>
              <w:bottom w:val="single" w:color="185FA5" w:sz="4" w:space="0"/>
              <w:right w:val="single" w:color="185FA5" w:sz="4" w:space="0"/>
            </w:tcBorders>
            <w:shd w:fill="185FA5" w:val="clear"/>
          </w:tcPr>
          <w:p>
            <w:pPr>
              <w:spacing w:after="20"/>
            </w:pPr>
          </w:p>
        </w:tc>
        <w:tc>
          <w:tcPr>
            <w:tcW w:type="dxa" w:w="9038"/>
            <w:tcBorders>
              <w:top w:val="single" w:color="185FA5" w:sz="4" w:space="0"/>
              <w:left w:val="single" w:color="185FA5" w:sz="4" w:space="0"/>
              <w:bottom w:val="single" w:color="185FA5" w:sz="4" w:space="0"/>
              <w:right w:val="single" w:color="185FA5" w:sz="16" w:space="0"/>
            </w:tcBorders>
            <w:shd w:fill="FBEAEA" w:val="clear"/>
            <w:tcMar>
              <w:top w:type="dxa" w:w="80"/>
              <w:left w:type="dxa" w:w="160"/>
              <w:bottom w:type="dxa" w:w="80"/>
              <w:right w:type="dxa" w:w="140"/>
            </w:tcMar>
          </w:tcPr>
          <w:p>
            <w:pPr>
              <w:spacing w:after="120"/>
              <w:jc w:val="left"/>
            </w:pPr>
            <w:r>
              <w:rPr>
                <w:rFonts w:ascii="Arial" w:cs="Arial" w:eastAsia="Arial" w:hAnsi="Arial"/>
                <w:b/>
                <w:bCs/>
                <w:color w:val="A32D2D"/>
                <w:sz w:val="18"/>
                <w:szCs w:val="18"/>
              </w:rPr>
              <w:t xml:space="preserve">❓  WHAT HAPPENS IF YOU SKIP THIS:  </w:t>
            </w:r>
            <w:r>
              <w:rPr>
                <w:rFonts w:ascii="Arial" w:cs="Arial" w:eastAsia="Arial" w:hAnsi="Arial"/>
                <w:color w:val="A32D2D"/>
                <w:sz w:val="18"/>
                <w:szCs w:val="18"/>
              </w:rPr>
              <w:t xml:space="preserve">A dispute arises. The buyer claims they never received a certain document. You search your files. You find a document without a REF number. You cannot prove it belongs to this order. The buyer's lawyer says it could have been created after the fact. One missing reference number — and a perfectly valid document becomes worthless as evidence.</w:t>
            </w:r>
          </w:p>
        </w:tc>
      </w:tr>
      <w:tr>
        <w:tc>
          <w:tcPr>
            <w:tcW w:type="dxa" w:w="600"/>
            <w:tcBorders>
              <w:top w:val="single" w:color="185FA5" w:sz="4" w:space="0"/>
              <w:left w:val="single" w:color="185FA5" w:sz="16" w:space="0"/>
              <w:bottom w:val="single" w:color="185FA5" w:sz="4" w:space="0"/>
              <w:right w:val="single" w:color="185FA5" w:sz="4" w:space="0"/>
            </w:tcBorders>
            <w:shd w:fill="185FA5" w:val="clear"/>
          </w:tcPr>
          <w:p>
            <w:pPr>
              <w:spacing w:after="20"/>
            </w:pPr>
          </w:p>
        </w:tc>
        <w:tc>
          <w:tcPr>
            <w:tcW w:type="dxa" w:w="9038"/>
            <w:tcBorders>
              <w:top w:val="single" w:color="185FA5" w:sz="4" w:space="0"/>
              <w:left w:val="single" w:color="185FA5" w:sz="4" w:space="0"/>
              <w:bottom w:val="single" w:color="185FA5" w:sz="4" w:space="0"/>
              <w:right w:val="single" w:color="185FA5" w:sz="16" w:space="0"/>
            </w:tcBorders>
            <w:shd w:fill="FFF3CD" w:val="clear"/>
            <w:tcMar>
              <w:top w:type="dxa" w:w="80"/>
              <w:left w:type="dxa" w:w="160"/>
              <w:bottom w:type="dxa" w:w="80"/>
              <w:right w:type="dxa" w:w="140"/>
            </w:tcMar>
          </w:tcPr>
          <w:p>
            <w:pPr>
              <w:spacing w:after="120"/>
              <w:jc w:val="left"/>
            </w:pPr>
            <w:r>
              <w:rPr>
                <w:rFonts w:ascii="Arial" w:cs="Arial" w:eastAsia="Arial" w:hAnsi="Arial"/>
                <w:b/>
                <w:bCs/>
                <w:color w:val="854F0B"/>
                <w:sz w:val="18"/>
                <w:szCs w:val="18"/>
              </w:rPr>
              <w:t xml:space="preserve">💡  THE SIMPLE FIX:  </w:t>
            </w:r>
            <w:r>
              <w:rPr>
                <w:rFonts w:ascii="Arial" w:cs="Arial" w:eastAsia="Arial" w:hAnsi="Arial"/>
                <w:color w:val="412402"/>
                <w:sz w:val="18"/>
                <w:szCs w:val="18"/>
              </w:rPr>
              <w:t xml:space="preserve">Assign the REF first. Before anything else. No REF — no document.</w:t>
            </w:r>
          </w:p>
        </w:tc>
      </w:tr>
      <w:tr>
        <w:tc>
          <w:tcPr>
            <w:tcW w:type="dxa" w:w="600"/>
            <w:tcBorders>
              <w:top w:val="single" w:color="185FA5" w:sz="4" w:space="0"/>
              <w:left w:val="single" w:color="185FA5" w:sz="16" w:space="0"/>
              <w:bottom w:val="single" w:color="185FA5" w:sz="16" w:space="0"/>
              <w:right w:val="single" w:color="185FA5" w:sz="4" w:space="0"/>
            </w:tcBorders>
            <w:shd w:fill="185FA5" w:val="clear"/>
          </w:tcPr>
          <w:p>
            <w:pPr>
              <w:spacing w:after="20"/>
            </w:pPr>
          </w:p>
        </w:tc>
        <w:tc>
          <w:tcPr>
            <w:tcW w:type="dxa" w:w="9038"/>
            <w:tcBorders>
              <w:top w:val="single" w:color="185FA5" w:sz="4" w:space="0"/>
              <w:left w:val="single" w:color="185FA5" w:sz="4" w:space="0"/>
              <w:bottom w:val="single" w:color="185FA5" w:sz="16" w:space="0"/>
              <w:right w:val="single" w:color="185FA5" w:sz="16" w:space="0"/>
            </w:tcBorders>
            <w:shd w:fill="FBEAEA" w:val="clear"/>
            <w:tcMar>
              <w:top w:type="dxa" w:w="80"/>
              <w:left w:type="dxa" w:w="160"/>
              <w:bottom w:type="dxa" w:w="80"/>
              <w:right w:type="dxa" w:w="140"/>
            </w:tcMar>
          </w:tcPr>
          <w:p>
            <w:pPr>
              <w:spacing w:after="120"/>
              <w:jc w:val="left"/>
            </w:pPr>
            <w:r>
              <w:rPr>
                <w:rFonts w:ascii="Arial" w:cs="Arial" w:eastAsia="Arial" w:hAnsi="Arial"/>
                <w:b/>
                <w:bCs/>
                <w:color w:val="A32D2D"/>
                <w:sz w:val="19"/>
                <w:szCs w:val="19"/>
              </w:rPr>
              <w:t xml:space="preserve">⛔  EVERY DOCUMENT CARRIES THE BUYER INQUIRY REF. NO EXCEPTIONS.</w:t>
            </w:r>
          </w:p>
          <w:p>
            <w:pPr>
              <w:spacing w:after="0"/>
              <w:jc w:val="left"/>
            </w:pPr>
            <w:r>
              <w:rPr>
                <w:rFonts w:ascii="Arial" w:cs="Arial" w:eastAsia="Arial" w:hAnsi="Arial"/>
                <w:i/>
                <w:iCs/>
                <w:color w:val="666666"/>
                <w:sz w:val="16"/>
                <w:szCs w:val="16"/>
              </w:rPr>
              <w:t xml:space="preserve">📖  For full context on this step — see Format A for the quick version.</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9038"/>
      </w:tblGrid>
      <w:tr>
        <w:tc>
          <w:tcPr>
            <w:tcW w:type="dxa" w:w="600"/>
            <w:tcBorders>
              <w:top w:val="single" w:color="185FA5" w:sz="16" w:space="0"/>
              <w:left w:val="single" w:color="185FA5" w:sz="16" w:space="0"/>
              <w:bottom w:val="single" w:color="185FA5" w:sz="4" w:space="0"/>
              <w:right w:val="single" w:color="185FA5" w:sz="4" w:space="0"/>
            </w:tcBorders>
            <w:shd w:fill="185FA5" w:val="clear"/>
            <w:tcMar>
              <w:top w:type="dxa" w:w="80"/>
              <w:left w:type="dxa" w:w="100"/>
              <w:bottom w:type="dxa" w:w="60"/>
              <w:right w:type="dxa" w:w="80"/>
            </w:tcMar>
          </w:tcPr>
          <w:p>
            <w:pPr>
              <w:spacing w:after="120"/>
              <w:jc w:val="center"/>
            </w:pPr>
            <w:r>
              <w:rPr>
                <w:rFonts w:ascii="Arial" w:cs="Arial" w:eastAsia="Arial" w:hAnsi="Arial"/>
                <w:b/>
                <w:bCs/>
                <w:color w:val="FFFFFF"/>
                <w:sz w:val="24"/>
                <w:szCs w:val="24"/>
              </w:rPr>
              <w:t xml:space="preserve">STEP 2</w:t>
            </w:r>
          </w:p>
        </w:tc>
        <w:tc>
          <w:tcPr>
            <w:tcW w:type="dxa" w:w="9038"/>
            <w:tcBorders>
              <w:top w:val="single" w:color="185FA5" w:sz="16" w:space="0"/>
              <w:left w:val="single" w:color="185FA5" w:sz="4" w:space="0"/>
              <w:bottom w:val="single" w:color="185FA5" w:sz="4" w:space="0"/>
              <w:right w:val="single" w:color="185FA5" w:sz="16" w:space="0"/>
            </w:tcBorders>
            <w:shd w:fill="E6F1FB" w:val="clear"/>
            <w:tcMar>
              <w:top w:type="dxa" w:w="80"/>
              <w:left w:type="dxa" w:w="160"/>
              <w:bottom w:type="dxa" w:w="60"/>
              <w:right w:type="dxa" w:w="140"/>
            </w:tcMar>
          </w:tcPr>
          <w:p>
            <w:pPr>
              <w:spacing w:after="120"/>
              <w:jc w:val="left"/>
            </w:pPr>
            <w:r>
              <w:rPr>
                <w:rFonts w:ascii="Arial" w:cs="Arial" w:eastAsia="Arial" w:hAnsi="Arial"/>
                <w:b/>
                <w:bCs/>
                <w:color w:val="17233A"/>
                <w:sz w:val="22"/>
                <w:szCs w:val="22"/>
              </w:rPr>
              <w:t xml:space="preserve">Fill Buyer Details — Character for Character</w:t>
            </w:r>
          </w:p>
        </w:tc>
      </w:tr>
      <w:tr>
        <w:tc>
          <w:tcPr>
            <w:tcW w:type="dxa" w:w="600"/>
            <w:tcBorders>
              <w:top w:val="single" w:color="185FA5" w:sz="4" w:space="0"/>
              <w:left w:val="single" w:color="185FA5" w:sz="16" w:space="0"/>
              <w:bottom w:val="single" w:color="185FA5" w:sz="4" w:space="0"/>
              <w:right w:val="single" w:color="185FA5" w:sz="4" w:space="0"/>
            </w:tcBorders>
            <w:shd w:fill="185FA5" w:val="clear"/>
          </w:tcPr>
          <w:p>
            <w:pPr>
              <w:spacing w:after="20"/>
            </w:pPr>
          </w:p>
        </w:tc>
        <w:tc>
          <w:tcPr>
            <w:tcW w:type="dxa" w:w="9038"/>
            <w:tcBorders>
              <w:top w:val="single" w:color="185FA5" w:sz="4" w:space="0"/>
              <w:left w:val="single" w:color="185FA5" w:sz="4" w:space="0"/>
              <w:bottom w:val="single" w:color="185FA5" w:sz="4" w:space="0"/>
              <w:right w:val="single" w:color="185FA5" w:sz="16" w:space="0"/>
            </w:tcBorders>
            <w:shd w:fill="FFFFFF" w:val="clear"/>
            <w:tcMar>
              <w:top w:type="dxa" w:w="80"/>
              <w:left w:type="dxa" w:w="160"/>
              <w:bottom w:type="dxa" w:w="80"/>
              <w:right w:type="dxa" w:w="140"/>
            </w:tcMar>
          </w:tcPr>
          <w:p>
            <w:pPr>
              <w:spacing w:after="120"/>
              <w:jc w:val="left"/>
            </w:pPr>
            <w:r>
              <w:rPr>
                <w:rFonts w:ascii="Arial" w:cs="Arial" w:eastAsia="Arial" w:hAnsi="Arial"/>
                <w:b/>
                <w:bCs/>
                <w:color w:val="185FA5"/>
                <w:sz w:val="18"/>
                <w:szCs w:val="18"/>
              </w:rPr>
              <w:t xml:space="preserve">Think of it this way:  </w:t>
            </w:r>
            <w:r>
              <w:rPr>
                <w:rFonts w:ascii="Arial" w:cs="Arial" w:eastAsia="Arial" w:hAnsi="Arial"/>
                <w:i/>
                <w:iCs/>
                <w:color w:val="333333"/>
                <w:sz w:val="18"/>
                <w:szCs w:val="18"/>
              </w:rPr>
              <w:t xml:space="preserve">Imagine shipping 20 tonnes of granite to 'KŐ BT' — and the Bill of Lading reads 'Ko BT.' Same company. Different spelling. Destination customs flags a mismatch between the consignee on the BL and the buyer's import licence. The container sits at port. The buyer pays demurrage. They blame NexaCrest. You spend weeks proving it was the same company. All because of one special character.</w:t>
            </w:r>
          </w:p>
        </w:tc>
      </w:tr>
      <w:tr>
        <w:tc>
          <w:tcPr>
            <w:tcW w:type="dxa" w:w="600"/>
            <w:tcBorders>
              <w:top w:val="single" w:color="185FA5" w:sz="4" w:space="0"/>
              <w:left w:val="single" w:color="185FA5" w:sz="16" w:space="0"/>
              <w:bottom w:val="single" w:color="185FA5" w:sz="4" w:space="0"/>
              <w:right w:val="single" w:color="185FA5" w:sz="4" w:space="0"/>
            </w:tcBorders>
            <w:shd w:fill="185FA5" w:val="clear"/>
          </w:tcPr>
          <w:p>
            <w:pPr>
              <w:spacing w:after="20"/>
            </w:pPr>
          </w:p>
        </w:tc>
        <w:tc>
          <w:tcPr>
            <w:tcW w:type="dxa" w:w="9038"/>
            <w:tcBorders>
              <w:top w:val="single" w:color="185FA5" w:sz="4" w:space="0"/>
              <w:left w:val="single" w:color="185FA5" w:sz="4" w:space="0"/>
              <w:bottom w:val="single" w:color="185FA5" w:sz="4" w:space="0"/>
              <w:right w:val="single" w:color="185FA5" w:sz="16" w:space="0"/>
            </w:tcBorders>
            <w:shd w:fill="F8F8F8" w:val="clear"/>
            <w:tcMar>
              <w:top w:type="dxa" w:w="80"/>
              <w:left w:type="dxa" w:w="160"/>
              <w:bottom w:type="dxa" w:w="80"/>
              <w:right w:type="dxa" w:w="140"/>
            </w:tcMar>
          </w:tcPr>
          <w:p>
            <w:pPr>
              <w:spacing w:after="120"/>
              <w:jc w:val="left"/>
            </w:pPr>
            <w:r>
              <w:rPr>
                <w:rFonts w:ascii="Arial" w:cs="Arial" w:eastAsia="Arial" w:hAnsi="Arial"/>
                <w:b/>
                <w:bCs/>
                <w:color w:val="A32D2D"/>
                <w:sz w:val="18"/>
                <w:szCs w:val="18"/>
              </w:rPr>
              <w:t xml:space="preserve">🔴  WHAT TO DO:  </w:t>
            </w:r>
            <w:r>
              <w:rPr>
                <w:rFonts w:ascii="Arial" w:cs="Arial" w:eastAsia="Arial" w:hAnsi="Arial"/>
                <w:sz w:val="18"/>
                <w:szCs w:val="18"/>
              </w:rPr>
              <w:t xml:space="preserve">Fill Tab 1, Section 2 of the Order Data Sheet completely. Copy the buyer's legal name exactly as it appears on their company registration or VAT certificate — every character, every accent, every punctuation mark. Use this same name on every document without variation.</w:t>
            </w:r>
          </w:p>
        </w:tc>
      </w:tr>
      <w:tr>
        <w:tc>
          <w:tcPr>
            <w:tcW w:type="dxa" w:w="600"/>
            <w:tcBorders>
              <w:top w:val="single" w:color="185FA5" w:sz="4" w:space="0"/>
              <w:left w:val="single" w:color="185FA5" w:sz="16" w:space="0"/>
              <w:bottom w:val="single" w:color="185FA5" w:sz="4" w:space="0"/>
              <w:right w:val="single" w:color="185FA5" w:sz="4" w:space="0"/>
            </w:tcBorders>
            <w:shd w:fill="185FA5" w:val="clear"/>
          </w:tcPr>
          <w:p>
            <w:pPr>
              <w:spacing w:after="20"/>
            </w:pPr>
          </w:p>
        </w:tc>
        <w:tc>
          <w:tcPr>
            <w:tcW w:type="dxa" w:w="9038"/>
            <w:tcBorders>
              <w:top w:val="single" w:color="185FA5" w:sz="4" w:space="0"/>
              <w:left w:val="single" w:color="185FA5" w:sz="4" w:space="0"/>
              <w:bottom w:val="single" w:color="185FA5" w:sz="4" w:space="0"/>
              <w:right w:val="single" w:color="185FA5" w:sz="16" w:space="0"/>
            </w:tcBorders>
            <w:shd w:fill="FBEAEA" w:val="clear"/>
            <w:tcMar>
              <w:top w:type="dxa" w:w="80"/>
              <w:left w:type="dxa" w:w="160"/>
              <w:bottom w:type="dxa" w:w="80"/>
              <w:right w:type="dxa" w:w="140"/>
            </w:tcMar>
          </w:tcPr>
          <w:p>
            <w:pPr>
              <w:spacing w:after="120"/>
              <w:jc w:val="left"/>
            </w:pPr>
            <w:r>
              <w:rPr>
                <w:rFonts w:ascii="Arial" w:cs="Arial" w:eastAsia="Arial" w:hAnsi="Arial"/>
                <w:b/>
                <w:bCs/>
                <w:color w:val="A32D2D"/>
                <w:sz w:val="18"/>
                <w:szCs w:val="18"/>
              </w:rPr>
              <w:t xml:space="preserve">❓  WHAT HAPPENS IF YOU SKIP THIS:  </w:t>
            </w:r>
            <w:r>
              <w:rPr>
                <w:rFonts w:ascii="Arial" w:cs="Arial" w:eastAsia="Arial" w:hAnsi="Arial"/>
                <w:color w:val="A32D2D"/>
                <w:sz w:val="18"/>
                <w:szCs w:val="18"/>
              </w:rPr>
              <w:t xml:space="preserve">A name mismatch between the PI and the BL is one of the most common causes of customs delays in international trade. The buyer cannot clear the cargo. They lose money on demurrage and storage. They blame the exporter. Even if you are not legally at fault, you are commercially responsible for the disruption.</w:t>
            </w:r>
          </w:p>
        </w:tc>
      </w:tr>
      <w:tr>
        <w:tc>
          <w:tcPr>
            <w:tcW w:type="dxa" w:w="600"/>
            <w:tcBorders>
              <w:top w:val="single" w:color="185FA5" w:sz="4" w:space="0"/>
              <w:left w:val="single" w:color="185FA5" w:sz="16" w:space="0"/>
              <w:bottom w:val="single" w:color="185FA5" w:sz="4" w:space="0"/>
              <w:right w:val="single" w:color="185FA5" w:sz="4" w:space="0"/>
            </w:tcBorders>
            <w:shd w:fill="185FA5" w:val="clear"/>
          </w:tcPr>
          <w:p>
            <w:pPr>
              <w:spacing w:after="20"/>
            </w:pPr>
          </w:p>
        </w:tc>
        <w:tc>
          <w:tcPr>
            <w:tcW w:type="dxa" w:w="9038"/>
            <w:tcBorders>
              <w:top w:val="single" w:color="185FA5" w:sz="4" w:space="0"/>
              <w:left w:val="single" w:color="185FA5" w:sz="4" w:space="0"/>
              <w:bottom w:val="single" w:color="185FA5" w:sz="4" w:space="0"/>
              <w:right w:val="single" w:color="185FA5" w:sz="16" w:space="0"/>
            </w:tcBorders>
            <w:shd w:fill="FFF3CD" w:val="clear"/>
            <w:tcMar>
              <w:top w:type="dxa" w:w="80"/>
              <w:left w:type="dxa" w:w="160"/>
              <w:bottom w:type="dxa" w:w="80"/>
              <w:right w:type="dxa" w:w="140"/>
            </w:tcMar>
          </w:tcPr>
          <w:p>
            <w:pPr>
              <w:spacing w:after="120"/>
              <w:jc w:val="left"/>
            </w:pPr>
            <w:r>
              <w:rPr>
                <w:rFonts w:ascii="Arial" w:cs="Arial" w:eastAsia="Arial" w:hAnsi="Arial"/>
                <w:b/>
                <w:bCs/>
                <w:color w:val="854F0B"/>
                <w:sz w:val="18"/>
                <w:szCs w:val="18"/>
              </w:rPr>
              <w:t xml:space="preserve">💡  THE SIMPLE FIX:  </w:t>
            </w:r>
            <w:r>
              <w:rPr>
                <w:rFonts w:ascii="Arial" w:cs="Arial" w:eastAsia="Arial" w:hAnsi="Arial"/>
                <w:color w:val="412402"/>
                <w:sz w:val="18"/>
                <w:szCs w:val="18"/>
              </w:rPr>
              <w:t xml:space="preserve">Ask the buyer for their exact registered legal name in writing before issuing the QT. Copy it. Do not type it from memory.</w:t>
            </w:r>
          </w:p>
        </w:tc>
      </w:tr>
      <w:tr>
        <w:tc>
          <w:tcPr>
            <w:tcW w:type="dxa" w:w="600"/>
            <w:tcBorders>
              <w:top w:val="single" w:color="185FA5" w:sz="4" w:space="0"/>
              <w:left w:val="single" w:color="185FA5" w:sz="16" w:space="0"/>
              <w:bottom w:val="single" w:color="185FA5" w:sz="16" w:space="0"/>
              <w:right w:val="single" w:color="185FA5" w:sz="4" w:space="0"/>
            </w:tcBorders>
            <w:shd w:fill="185FA5" w:val="clear"/>
          </w:tcPr>
          <w:p>
            <w:pPr>
              <w:spacing w:after="20"/>
            </w:pPr>
          </w:p>
        </w:tc>
        <w:tc>
          <w:tcPr>
            <w:tcW w:type="dxa" w:w="9038"/>
            <w:tcBorders>
              <w:top w:val="single" w:color="185FA5" w:sz="4" w:space="0"/>
              <w:left w:val="single" w:color="185FA5" w:sz="4" w:space="0"/>
              <w:bottom w:val="single" w:color="185FA5" w:sz="16" w:space="0"/>
              <w:right w:val="single" w:color="185FA5" w:sz="16" w:space="0"/>
            </w:tcBorders>
            <w:shd w:fill="FBEAEA" w:val="clear"/>
            <w:tcMar>
              <w:top w:type="dxa" w:w="80"/>
              <w:left w:type="dxa" w:w="160"/>
              <w:bottom w:type="dxa" w:w="80"/>
              <w:right w:type="dxa" w:w="140"/>
            </w:tcMar>
          </w:tcPr>
          <w:p>
            <w:pPr>
              <w:spacing w:after="120"/>
              <w:jc w:val="left"/>
            </w:pPr>
            <w:r>
              <w:rPr>
                <w:rFonts w:ascii="Arial" w:cs="Arial" w:eastAsia="Arial" w:hAnsi="Arial"/>
                <w:b/>
                <w:bCs/>
                <w:color w:val="A32D2D"/>
                <w:sz w:val="19"/>
                <w:szCs w:val="19"/>
              </w:rPr>
              <w:t xml:space="preserve">⛔  EXACT LEGAL NAME. EVERY CHARACTER. COPIED — NOT RETYPED.</w:t>
            </w:r>
          </w:p>
          <w:p>
            <w:pPr>
              <w:spacing w:after="0"/>
              <w:jc w:val="left"/>
            </w:pPr>
            <w:r>
              <w:rPr>
                <w:rFonts w:ascii="Arial" w:cs="Arial" w:eastAsia="Arial" w:hAnsi="Arial"/>
                <w:i/>
                <w:iCs/>
                <w:color w:val="666666"/>
                <w:sz w:val="16"/>
                <w:szCs w:val="16"/>
              </w:rPr>
              <w:t xml:space="preserve">📖  For full context on this step — see Format A for the quick version.</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9038"/>
      </w:tblGrid>
      <w:tr>
        <w:tc>
          <w:tcPr>
            <w:tcW w:type="dxa" w:w="600"/>
            <w:tcBorders>
              <w:top w:val="single" w:color="185FA5" w:sz="16" w:space="0"/>
              <w:left w:val="single" w:color="185FA5" w:sz="16" w:space="0"/>
              <w:bottom w:val="single" w:color="185FA5" w:sz="4" w:space="0"/>
              <w:right w:val="single" w:color="185FA5" w:sz="4" w:space="0"/>
            </w:tcBorders>
            <w:shd w:fill="185FA5" w:val="clear"/>
            <w:tcMar>
              <w:top w:type="dxa" w:w="80"/>
              <w:left w:type="dxa" w:w="100"/>
              <w:bottom w:type="dxa" w:w="60"/>
              <w:right w:type="dxa" w:w="80"/>
            </w:tcMar>
          </w:tcPr>
          <w:p>
            <w:pPr>
              <w:spacing w:after="120"/>
              <w:jc w:val="center"/>
            </w:pPr>
            <w:r>
              <w:rPr>
                <w:rFonts w:ascii="Arial" w:cs="Arial" w:eastAsia="Arial" w:hAnsi="Arial"/>
                <w:b/>
                <w:bCs/>
                <w:color w:val="FFFFFF"/>
                <w:sz w:val="24"/>
                <w:szCs w:val="24"/>
              </w:rPr>
              <w:t xml:space="preserve">STEP 3</w:t>
            </w:r>
          </w:p>
        </w:tc>
        <w:tc>
          <w:tcPr>
            <w:tcW w:type="dxa" w:w="9038"/>
            <w:tcBorders>
              <w:top w:val="single" w:color="185FA5" w:sz="16" w:space="0"/>
              <w:left w:val="single" w:color="185FA5" w:sz="4" w:space="0"/>
              <w:bottom w:val="single" w:color="185FA5" w:sz="4" w:space="0"/>
              <w:right w:val="single" w:color="185FA5" w:sz="16" w:space="0"/>
            </w:tcBorders>
            <w:shd w:fill="E6F1FB" w:val="clear"/>
            <w:tcMar>
              <w:top w:type="dxa" w:w="80"/>
              <w:left w:type="dxa" w:w="160"/>
              <w:bottom w:type="dxa" w:w="60"/>
              <w:right w:type="dxa" w:w="140"/>
            </w:tcMar>
          </w:tcPr>
          <w:p>
            <w:pPr>
              <w:spacing w:after="120"/>
              <w:jc w:val="left"/>
            </w:pPr>
            <w:r>
              <w:rPr>
                <w:rFonts w:ascii="Arial" w:cs="Arial" w:eastAsia="Arial" w:hAnsi="Arial"/>
                <w:b/>
                <w:bCs/>
                <w:color w:val="17233A"/>
                <w:sz w:val="22"/>
                <w:szCs w:val="22"/>
              </w:rPr>
              <w:t xml:space="preserve">Confirm Product &amp; Pricing — No Assumptions</w:t>
            </w:r>
          </w:p>
        </w:tc>
      </w:tr>
      <w:tr>
        <w:tc>
          <w:tcPr>
            <w:tcW w:type="dxa" w:w="600"/>
            <w:tcBorders>
              <w:top w:val="single" w:color="185FA5" w:sz="4" w:space="0"/>
              <w:left w:val="single" w:color="185FA5" w:sz="16" w:space="0"/>
              <w:bottom w:val="single" w:color="185FA5" w:sz="4" w:space="0"/>
              <w:right w:val="single" w:color="185FA5" w:sz="4" w:space="0"/>
            </w:tcBorders>
            <w:shd w:fill="185FA5" w:val="clear"/>
          </w:tcPr>
          <w:p>
            <w:pPr>
              <w:spacing w:after="20"/>
            </w:pPr>
          </w:p>
        </w:tc>
        <w:tc>
          <w:tcPr>
            <w:tcW w:type="dxa" w:w="9038"/>
            <w:tcBorders>
              <w:top w:val="single" w:color="185FA5" w:sz="4" w:space="0"/>
              <w:left w:val="single" w:color="185FA5" w:sz="4" w:space="0"/>
              <w:bottom w:val="single" w:color="185FA5" w:sz="4" w:space="0"/>
              <w:right w:val="single" w:color="185FA5" w:sz="16" w:space="0"/>
            </w:tcBorders>
            <w:shd w:fill="FFFFFF" w:val="clear"/>
            <w:tcMar>
              <w:top w:type="dxa" w:w="80"/>
              <w:left w:type="dxa" w:w="160"/>
              <w:bottom w:type="dxa" w:w="80"/>
              <w:right w:type="dxa" w:w="140"/>
            </w:tcMar>
          </w:tcPr>
          <w:p>
            <w:pPr>
              <w:spacing w:after="120"/>
              <w:jc w:val="left"/>
            </w:pPr>
            <w:r>
              <w:rPr>
                <w:rFonts w:ascii="Arial" w:cs="Arial" w:eastAsia="Arial" w:hAnsi="Arial"/>
                <w:b/>
                <w:bCs/>
                <w:color w:val="185FA5"/>
                <w:sz w:val="18"/>
                <w:szCs w:val="18"/>
              </w:rPr>
              <w:t xml:space="preserve">Think of it this way:  </w:t>
            </w:r>
            <w:r>
              <w:rPr>
                <w:rFonts w:ascii="Arial" w:cs="Arial" w:eastAsia="Arial" w:hAnsi="Arial"/>
                <w:i/>
                <w:iCs/>
                <w:color w:val="333333"/>
                <w:sz w:val="18"/>
                <w:szCs w:val="18"/>
              </w:rPr>
              <w:t xml:space="preserve">A buyer asks for '60x60 mirror polished slabs.' You assume they mean 2cm thickness because that is standard. You quote accordingly. They receive the goods and say — 'we needed 3cm. Our PI says 60x60 mirror polished — it does not say 2cm.' They are right. The PI does not say 2cm. You assumed. They assumed differently.</w:t>
            </w:r>
          </w:p>
        </w:tc>
      </w:tr>
      <w:tr>
        <w:tc>
          <w:tcPr>
            <w:tcW w:type="dxa" w:w="600"/>
            <w:tcBorders>
              <w:top w:val="single" w:color="185FA5" w:sz="4" w:space="0"/>
              <w:left w:val="single" w:color="185FA5" w:sz="16" w:space="0"/>
              <w:bottom w:val="single" w:color="185FA5" w:sz="4" w:space="0"/>
              <w:right w:val="single" w:color="185FA5" w:sz="4" w:space="0"/>
            </w:tcBorders>
            <w:shd w:fill="185FA5" w:val="clear"/>
          </w:tcPr>
          <w:p>
            <w:pPr>
              <w:spacing w:after="20"/>
            </w:pPr>
          </w:p>
        </w:tc>
        <w:tc>
          <w:tcPr>
            <w:tcW w:type="dxa" w:w="9038"/>
            <w:tcBorders>
              <w:top w:val="single" w:color="185FA5" w:sz="4" w:space="0"/>
              <w:left w:val="single" w:color="185FA5" w:sz="4" w:space="0"/>
              <w:bottom w:val="single" w:color="185FA5" w:sz="4" w:space="0"/>
              <w:right w:val="single" w:color="185FA5" w:sz="16" w:space="0"/>
            </w:tcBorders>
            <w:shd w:fill="F8F8F8" w:val="clear"/>
            <w:tcMar>
              <w:top w:type="dxa" w:w="80"/>
              <w:left w:type="dxa" w:w="160"/>
              <w:bottom w:type="dxa" w:w="80"/>
              <w:right w:type="dxa" w:w="140"/>
            </w:tcMar>
          </w:tcPr>
          <w:p>
            <w:pPr>
              <w:spacing w:after="120"/>
              <w:jc w:val="left"/>
            </w:pPr>
            <w:r>
              <w:rPr>
                <w:rFonts w:ascii="Arial" w:cs="Arial" w:eastAsia="Arial" w:hAnsi="Arial"/>
                <w:b/>
                <w:bCs/>
                <w:color w:val="A32D2D"/>
                <w:sz w:val="18"/>
                <w:szCs w:val="18"/>
              </w:rPr>
              <w:t xml:space="preserve">🔴  WHAT TO DO:  </w:t>
            </w:r>
            <w:r>
              <w:rPr>
                <w:rFonts w:ascii="Arial" w:cs="Arial" w:eastAsia="Arial" w:hAnsi="Arial"/>
                <w:sz w:val="18"/>
                <w:szCs w:val="18"/>
              </w:rPr>
              <w:t xml:space="preserve">Every specification must be explicit on the Quotation. Dimensions including thickness. Surface finish including which sides. HS Code. Quantity. Unit. Unit price. Total FOB Value. If any specification is not confirmed by the buyer in writing — write TBC in that field. Do not assume.</w:t>
            </w:r>
          </w:p>
        </w:tc>
      </w:tr>
      <w:tr>
        <w:tc>
          <w:tcPr>
            <w:tcW w:type="dxa" w:w="600"/>
            <w:tcBorders>
              <w:top w:val="single" w:color="185FA5" w:sz="4" w:space="0"/>
              <w:left w:val="single" w:color="185FA5" w:sz="16" w:space="0"/>
              <w:bottom w:val="single" w:color="185FA5" w:sz="4" w:space="0"/>
              <w:right w:val="single" w:color="185FA5" w:sz="4" w:space="0"/>
            </w:tcBorders>
            <w:shd w:fill="185FA5" w:val="clear"/>
          </w:tcPr>
          <w:p>
            <w:pPr>
              <w:spacing w:after="20"/>
            </w:pPr>
          </w:p>
        </w:tc>
        <w:tc>
          <w:tcPr>
            <w:tcW w:type="dxa" w:w="9038"/>
            <w:tcBorders>
              <w:top w:val="single" w:color="185FA5" w:sz="4" w:space="0"/>
              <w:left w:val="single" w:color="185FA5" w:sz="4" w:space="0"/>
              <w:bottom w:val="single" w:color="185FA5" w:sz="4" w:space="0"/>
              <w:right w:val="single" w:color="185FA5" w:sz="16" w:space="0"/>
            </w:tcBorders>
            <w:shd w:fill="FBEAEA" w:val="clear"/>
            <w:tcMar>
              <w:top w:type="dxa" w:w="80"/>
              <w:left w:type="dxa" w:w="160"/>
              <w:bottom w:type="dxa" w:w="80"/>
              <w:right w:type="dxa" w:w="140"/>
            </w:tcMar>
          </w:tcPr>
          <w:p>
            <w:pPr>
              <w:spacing w:after="120"/>
              <w:jc w:val="left"/>
            </w:pPr>
            <w:r>
              <w:rPr>
                <w:rFonts w:ascii="Arial" w:cs="Arial" w:eastAsia="Arial" w:hAnsi="Arial"/>
                <w:b/>
                <w:bCs/>
                <w:color w:val="A32D2D"/>
                <w:sz w:val="18"/>
                <w:szCs w:val="18"/>
              </w:rPr>
              <w:t xml:space="preserve">❓  WHAT HAPPENS IF YOU SKIP THIS:  </w:t>
            </w:r>
            <w:r>
              <w:rPr>
                <w:rFonts w:ascii="Arial" w:cs="Arial" w:eastAsia="Arial" w:hAnsi="Arial"/>
                <w:color w:val="A32D2D"/>
                <w:sz w:val="18"/>
                <w:szCs w:val="18"/>
              </w:rPr>
              <w:t xml:space="preserve">Ambiguous specifications lead to rejected cargo, return shipments, and replacement orders at NexaCrest's cost. A buyer who receives goods that do not match their assumption — even if the PI was technically correct — will dispute the invoice and refuse payment.</w:t>
            </w:r>
          </w:p>
        </w:tc>
      </w:tr>
      <w:tr>
        <w:tc>
          <w:tcPr>
            <w:tcW w:type="dxa" w:w="600"/>
            <w:tcBorders>
              <w:top w:val="single" w:color="185FA5" w:sz="4" w:space="0"/>
              <w:left w:val="single" w:color="185FA5" w:sz="16" w:space="0"/>
              <w:bottom w:val="single" w:color="185FA5" w:sz="4" w:space="0"/>
              <w:right w:val="single" w:color="185FA5" w:sz="4" w:space="0"/>
            </w:tcBorders>
            <w:shd w:fill="185FA5" w:val="clear"/>
          </w:tcPr>
          <w:p>
            <w:pPr>
              <w:spacing w:after="20"/>
            </w:pPr>
          </w:p>
        </w:tc>
        <w:tc>
          <w:tcPr>
            <w:tcW w:type="dxa" w:w="9038"/>
            <w:tcBorders>
              <w:top w:val="single" w:color="185FA5" w:sz="4" w:space="0"/>
              <w:left w:val="single" w:color="185FA5" w:sz="4" w:space="0"/>
              <w:bottom w:val="single" w:color="185FA5" w:sz="4" w:space="0"/>
              <w:right w:val="single" w:color="185FA5" w:sz="16" w:space="0"/>
            </w:tcBorders>
            <w:shd w:fill="FFF3CD" w:val="clear"/>
            <w:tcMar>
              <w:top w:type="dxa" w:w="80"/>
              <w:left w:type="dxa" w:w="160"/>
              <w:bottom w:type="dxa" w:w="80"/>
              <w:right w:type="dxa" w:w="140"/>
            </w:tcMar>
          </w:tcPr>
          <w:p>
            <w:pPr>
              <w:spacing w:after="120"/>
              <w:jc w:val="left"/>
            </w:pPr>
            <w:r>
              <w:rPr>
                <w:rFonts w:ascii="Arial" w:cs="Arial" w:eastAsia="Arial" w:hAnsi="Arial"/>
                <w:b/>
                <w:bCs/>
                <w:color w:val="854F0B"/>
                <w:sz w:val="18"/>
                <w:szCs w:val="18"/>
              </w:rPr>
              <w:t xml:space="preserve">💡  THE SIMPLE FIX:  </w:t>
            </w:r>
            <w:r>
              <w:rPr>
                <w:rFonts w:ascii="Arial" w:cs="Arial" w:eastAsia="Arial" w:hAnsi="Arial"/>
                <w:color w:val="412402"/>
                <w:sz w:val="18"/>
                <w:szCs w:val="18"/>
              </w:rPr>
              <w:t xml:space="preserve">If the buyer has not confirmed a specification — ask. Do not quote assumptions. One clarification email saves weeks of dispute.</w:t>
            </w:r>
          </w:p>
        </w:tc>
      </w:tr>
      <w:tr>
        <w:tc>
          <w:tcPr>
            <w:tcW w:type="dxa" w:w="600"/>
            <w:tcBorders>
              <w:top w:val="single" w:color="185FA5" w:sz="4" w:space="0"/>
              <w:left w:val="single" w:color="185FA5" w:sz="16" w:space="0"/>
              <w:bottom w:val="single" w:color="185FA5" w:sz="16" w:space="0"/>
              <w:right w:val="single" w:color="185FA5" w:sz="4" w:space="0"/>
            </w:tcBorders>
            <w:shd w:fill="185FA5" w:val="clear"/>
          </w:tcPr>
          <w:p>
            <w:pPr>
              <w:spacing w:after="20"/>
            </w:pPr>
          </w:p>
        </w:tc>
        <w:tc>
          <w:tcPr>
            <w:tcW w:type="dxa" w:w="9038"/>
            <w:tcBorders>
              <w:top w:val="single" w:color="185FA5" w:sz="4" w:space="0"/>
              <w:left w:val="single" w:color="185FA5" w:sz="4" w:space="0"/>
              <w:bottom w:val="single" w:color="185FA5" w:sz="16" w:space="0"/>
              <w:right w:val="single" w:color="185FA5" w:sz="16" w:space="0"/>
            </w:tcBorders>
            <w:shd w:fill="FBEAEA" w:val="clear"/>
            <w:tcMar>
              <w:top w:type="dxa" w:w="80"/>
              <w:left w:type="dxa" w:w="160"/>
              <w:bottom w:type="dxa" w:w="80"/>
              <w:right w:type="dxa" w:w="140"/>
            </w:tcMar>
          </w:tcPr>
          <w:p>
            <w:pPr>
              <w:spacing w:after="120"/>
              <w:jc w:val="left"/>
            </w:pPr>
            <w:r>
              <w:rPr>
                <w:rFonts w:ascii="Arial" w:cs="Arial" w:eastAsia="Arial" w:hAnsi="Arial"/>
                <w:b/>
                <w:bCs/>
                <w:color w:val="A32D2D"/>
                <w:sz w:val="19"/>
                <w:szCs w:val="19"/>
              </w:rPr>
              <w:t xml:space="preserve">⛔  EVERY SPECIFICATION EXPLICIT. NO ASSUMPTIONS. NO TBC WITHOUT BUYER CONFIRMATION.</w:t>
            </w:r>
          </w:p>
          <w:p>
            <w:pPr>
              <w:spacing w:after="0"/>
              <w:jc w:val="left"/>
            </w:pPr>
            <w:r>
              <w:rPr>
                <w:rFonts w:ascii="Arial" w:cs="Arial" w:eastAsia="Arial" w:hAnsi="Arial"/>
                <w:i/>
                <w:iCs/>
                <w:color w:val="666666"/>
                <w:sz w:val="16"/>
                <w:szCs w:val="16"/>
              </w:rPr>
              <w:t xml:space="preserve">📖  For full context on this step — see Format A for the quick version.</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9038"/>
      </w:tblGrid>
      <w:tr>
        <w:tc>
          <w:tcPr>
            <w:tcW w:type="dxa" w:w="600"/>
            <w:tcBorders>
              <w:top w:val="single" w:color="185FA5" w:sz="16" w:space="0"/>
              <w:left w:val="single" w:color="185FA5" w:sz="16" w:space="0"/>
              <w:bottom w:val="single" w:color="185FA5" w:sz="4" w:space="0"/>
              <w:right w:val="single" w:color="185FA5" w:sz="4" w:space="0"/>
            </w:tcBorders>
            <w:shd w:fill="185FA5" w:val="clear"/>
            <w:tcMar>
              <w:top w:type="dxa" w:w="80"/>
              <w:left w:type="dxa" w:w="100"/>
              <w:bottom w:type="dxa" w:w="60"/>
              <w:right w:type="dxa" w:w="80"/>
            </w:tcMar>
          </w:tcPr>
          <w:p>
            <w:pPr>
              <w:spacing w:after="120"/>
              <w:jc w:val="center"/>
            </w:pPr>
            <w:r>
              <w:rPr>
                <w:rFonts w:ascii="Arial" w:cs="Arial" w:eastAsia="Arial" w:hAnsi="Arial"/>
                <w:b/>
                <w:bCs/>
                <w:color w:val="FFFFFF"/>
                <w:sz w:val="24"/>
                <w:szCs w:val="24"/>
              </w:rPr>
              <w:t xml:space="preserve">STEP 4</w:t>
            </w:r>
          </w:p>
        </w:tc>
        <w:tc>
          <w:tcPr>
            <w:tcW w:type="dxa" w:w="9038"/>
            <w:tcBorders>
              <w:top w:val="single" w:color="185FA5" w:sz="16" w:space="0"/>
              <w:left w:val="single" w:color="185FA5" w:sz="4" w:space="0"/>
              <w:bottom w:val="single" w:color="185FA5" w:sz="4" w:space="0"/>
              <w:right w:val="single" w:color="185FA5" w:sz="16" w:space="0"/>
            </w:tcBorders>
            <w:shd w:fill="E6F1FB" w:val="clear"/>
            <w:tcMar>
              <w:top w:type="dxa" w:w="80"/>
              <w:left w:type="dxa" w:w="160"/>
              <w:bottom w:type="dxa" w:w="60"/>
              <w:right w:type="dxa" w:w="140"/>
            </w:tcMar>
          </w:tcPr>
          <w:p>
            <w:pPr>
              <w:spacing w:after="120"/>
              <w:jc w:val="left"/>
            </w:pPr>
            <w:r>
              <w:rPr>
                <w:rFonts w:ascii="Arial" w:cs="Arial" w:eastAsia="Arial" w:hAnsi="Arial"/>
                <w:b/>
                <w:bCs/>
                <w:color w:val="17233A"/>
                <w:sz w:val="22"/>
                <w:szCs w:val="22"/>
              </w:rPr>
              <w:t xml:space="preserve">Confirm Shipping Terms — Port Name Exactly</w:t>
            </w:r>
          </w:p>
        </w:tc>
      </w:tr>
      <w:tr>
        <w:tc>
          <w:tcPr>
            <w:tcW w:type="dxa" w:w="600"/>
            <w:tcBorders>
              <w:top w:val="single" w:color="185FA5" w:sz="4" w:space="0"/>
              <w:left w:val="single" w:color="185FA5" w:sz="16" w:space="0"/>
              <w:bottom w:val="single" w:color="185FA5" w:sz="4" w:space="0"/>
              <w:right w:val="single" w:color="185FA5" w:sz="4" w:space="0"/>
            </w:tcBorders>
            <w:shd w:fill="185FA5" w:val="clear"/>
          </w:tcPr>
          <w:p>
            <w:pPr>
              <w:spacing w:after="20"/>
            </w:pPr>
          </w:p>
        </w:tc>
        <w:tc>
          <w:tcPr>
            <w:tcW w:type="dxa" w:w="9038"/>
            <w:tcBorders>
              <w:top w:val="single" w:color="185FA5" w:sz="4" w:space="0"/>
              <w:left w:val="single" w:color="185FA5" w:sz="4" w:space="0"/>
              <w:bottom w:val="single" w:color="185FA5" w:sz="4" w:space="0"/>
              <w:right w:val="single" w:color="185FA5" w:sz="16" w:space="0"/>
            </w:tcBorders>
            <w:shd w:fill="FFFFFF" w:val="clear"/>
            <w:tcMar>
              <w:top w:type="dxa" w:w="80"/>
              <w:left w:type="dxa" w:w="160"/>
              <w:bottom w:type="dxa" w:w="80"/>
              <w:right w:type="dxa" w:w="140"/>
            </w:tcMar>
          </w:tcPr>
          <w:p>
            <w:pPr>
              <w:spacing w:after="120"/>
              <w:jc w:val="left"/>
            </w:pPr>
            <w:r>
              <w:rPr>
                <w:rFonts w:ascii="Arial" w:cs="Arial" w:eastAsia="Arial" w:hAnsi="Arial"/>
                <w:b/>
                <w:bCs/>
                <w:color w:val="185FA5"/>
                <w:sz w:val="18"/>
                <w:szCs w:val="18"/>
              </w:rPr>
              <w:t xml:space="preserve">Think of it this way:  </w:t>
            </w:r>
            <w:r>
              <w:rPr>
                <w:rFonts w:ascii="Arial" w:cs="Arial" w:eastAsia="Arial" w:hAnsi="Arial"/>
                <w:i/>
                <w:iCs/>
                <w:color w:val="333333"/>
                <w:sz w:val="18"/>
                <w:szCs w:val="18"/>
              </w:rPr>
              <w:t xml:space="preserve">You write 'Port of Tilbury' on the QT. The buyer's freight agent writes 'London Gateway' on their shipping instructions. Two different ports. Both near London. The shipping line delivers to Tilbury. The buyer's customs agent is waiting at London Gateway. The container is stuck. Nobody is wrong — the ports were just never aligned.</w:t>
            </w:r>
          </w:p>
        </w:tc>
      </w:tr>
      <w:tr>
        <w:tc>
          <w:tcPr>
            <w:tcW w:type="dxa" w:w="600"/>
            <w:tcBorders>
              <w:top w:val="single" w:color="185FA5" w:sz="4" w:space="0"/>
              <w:left w:val="single" w:color="185FA5" w:sz="16" w:space="0"/>
              <w:bottom w:val="single" w:color="185FA5" w:sz="4" w:space="0"/>
              <w:right w:val="single" w:color="185FA5" w:sz="4" w:space="0"/>
            </w:tcBorders>
            <w:shd w:fill="185FA5" w:val="clear"/>
          </w:tcPr>
          <w:p>
            <w:pPr>
              <w:spacing w:after="20"/>
            </w:pPr>
          </w:p>
        </w:tc>
        <w:tc>
          <w:tcPr>
            <w:tcW w:type="dxa" w:w="9038"/>
            <w:tcBorders>
              <w:top w:val="single" w:color="185FA5" w:sz="4" w:space="0"/>
              <w:left w:val="single" w:color="185FA5" w:sz="4" w:space="0"/>
              <w:bottom w:val="single" w:color="185FA5" w:sz="4" w:space="0"/>
              <w:right w:val="single" w:color="185FA5" w:sz="16" w:space="0"/>
            </w:tcBorders>
            <w:shd w:fill="F8F8F8" w:val="clear"/>
            <w:tcMar>
              <w:top w:type="dxa" w:w="80"/>
              <w:left w:type="dxa" w:w="160"/>
              <w:bottom w:type="dxa" w:w="80"/>
              <w:right w:type="dxa" w:w="140"/>
            </w:tcMar>
          </w:tcPr>
          <w:p>
            <w:pPr>
              <w:spacing w:after="120"/>
              <w:jc w:val="left"/>
            </w:pPr>
            <w:r>
              <w:rPr>
                <w:rFonts w:ascii="Arial" w:cs="Arial" w:eastAsia="Arial" w:hAnsi="Arial"/>
                <w:b/>
                <w:bCs/>
                <w:color w:val="A32D2D"/>
                <w:sz w:val="18"/>
                <w:szCs w:val="18"/>
              </w:rPr>
              <w:t xml:space="preserve">🔴  WHAT TO DO:  </w:t>
            </w:r>
            <w:r>
              <w:rPr>
                <w:rFonts w:ascii="Arial" w:cs="Arial" w:eastAsia="Arial" w:hAnsi="Arial"/>
                <w:sz w:val="18"/>
                <w:szCs w:val="18"/>
              </w:rPr>
              <w:t xml:space="preserve">Confirm the exact port name with the buyer before issuing the QT. Write it exactly as the shipping line uses it — not the city name, not a shorthand. The same port name must appear on QT, PI, OC, PL, CI, FDN, and BL — identical across all seven documents.</w:t>
            </w:r>
          </w:p>
        </w:tc>
      </w:tr>
      <w:tr>
        <w:tc>
          <w:tcPr>
            <w:tcW w:type="dxa" w:w="600"/>
            <w:tcBorders>
              <w:top w:val="single" w:color="185FA5" w:sz="4" w:space="0"/>
              <w:left w:val="single" w:color="185FA5" w:sz="16" w:space="0"/>
              <w:bottom w:val="single" w:color="185FA5" w:sz="4" w:space="0"/>
              <w:right w:val="single" w:color="185FA5" w:sz="4" w:space="0"/>
            </w:tcBorders>
            <w:shd w:fill="185FA5" w:val="clear"/>
          </w:tcPr>
          <w:p>
            <w:pPr>
              <w:spacing w:after="20"/>
            </w:pPr>
          </w:p>
        </w:tc>
        <w:tc>
          <w:tcPr>
            <w:tcW w:type="dxa" w:w="9038"/>
            <w:tcBorders>
              <w:top w:val="single" w:color="185FA5" w:sz="4" w:space="0"/>
              <w:left w:val="single" w:color="185FA5" w:sz="4" w:space="0"/>
              <w:bottom w:val="single" w:color="185FA5" w:sz="4" w:space="0"/>
              <w:right w:val="single" w:color="185FA5" w:sz="16" w:space="0"/>
            </w:tcBorders>
            <w:shd w:fill="FBEAEA" w:val="clear"/>
            <w:tcMar>
              <w:top w:type="dxa" w:w="80"/>
              <w:left w:type="dxa" w:w="160"/>
              <w:bottom w:type="dxa" w:w="80"/>
              <w:right w:type="dxa" w:w="140"/>
            </w:tcMar>
          </w:tcPr>
          <w:p>
            <w:pPr>
              <w:spacing w:after="120"/>
              <w:jc w:val="left"/>
            </w:pPr>
            <w:r>
              <w:rPr>
                <w:rFonts w:ascii="Arial" w:cs="Arial" w:eastAsia="Arial" w:hAnsi="Arial"/>
                <w:b/>
                <w:bCs/>
                <w:color w:val="A32D2D"/>
                <w:sz w:val="18"/>
                <w:szCs w:val="18"/>
              </w:rPr>
              <w:t xml:space="preserve">❓  WHAT HAPPENS IF YOU SKIP THIS:  </w:t>
            </w:r>
            <w:r>
              <w:rPr>
                <w:rFonts w:ascii="Arial" w:cs="Arial" w:eastAsia="Arial" w:hAnsi="Arial"/>
                <w:color w:val="A32D2D"/>
                <w:sz w:val="18"/>
                <w:szCs w:val="18"/>
              </w:rPr>
              <w:t xml:space="preserve">A port mismatch between the PI and the BL is a customs documentation error. The cargo cannot be cleared. The buyer cannot take delivery. Correction requires an amendment to the BL — which costs money and time — and the shipping line may not issue it quickly.</w:t>
            </w:r>
          </w:p>
        </w:tc>
      </w:tr>
      <w:tr>
        <w:tc>
          <w:tcPr>
            <w:tcW w:type="dxa" w:w="600"/>
            <w:tcBorders>
              <w:top w:val="single" w:color="185FA5" w:sz="4" w:space="0"/>
              <w:left w:val="single" w:color="185FA5" w:sz="16" w:space="0"/>
              <w:bottom w:val="single" w:color="185FA5" w:sz="4" w:space="0"/>
              <w:right w:val="single" w:color="185FA5" w:sz="4" w:space="0"/>
            </w:tcBorders>
            <w:shd w:fill="185FA5" w:val="clear"/>
          </w:tcPr>
          <w:p>
            <w:pPr>
              <w:spacing w:after="20"/>
            </w:pPr>
          </w:p>
        </w:tc>
        <w:tc>
          <w:tcPr>
            <w:tcW w:type="dxa" w:w="9038"/>
            <w:tcBorders>
              <w:top w:val="single" w:color="185FA5" w:sz="4" w:space="0"/>
              <w:left w:val="single" w:color="185FA5" w:sz="4" w:space="0"/>
              <w:bottom w:val="single" w:color="185FA5" w:sz="4" w:space="0"/>
              <w:right w:val="single" w:color="185FA5" w:sz="16" w:space="0"/>
            </w:tcBorders>
            <w:shd w:fill="FFF3CD" w:val="clear"/>
            <w:tcMar>
              <w:top w:type="dxa" w:w="80"/>
              <w:left w:type="dxa" w:w="160"/>
              <w:bottom w:type="dxa" w:w="80"/>
              <w:right w:type="dxa" w:w="140"/>
            </w:tcMar>
          </w:tcPr>
          <w:p>
            <w:pPr>
              <w:spacing w:after="120"/>
              <w:jc w:val="left"/>
            </w:pPr>
            <w:r>
              <w:rPr>
                <w:rFonts w:ascii="Arial" w:cs="Arial" w:eastAsia="Arial" w:hAnsi="Arial"/>
                <w:b/>
                <w:bCs/>
                <w:color w:val="854F0B"/>
                <w:sz w:val="18"/>
                <w:szCs w:val="18"/>
              </w:rPr>
              <w:t xml:space="preserve">💡  THE SIMPLE FIX:  </w:t>
            </w:r>
            <w:r>
              <w:rPr>
                <w:rFonts w:ascii="Arial" w:cs="Arial" w:eastAsia="Arial" w:hAnsi="Arial"/>
                <w:color w:val="412402"/>
                <w:sz w:val="18"/>
                <w:szCs w:val="18"/>
              </w:rPr>
              <w:t xml:space="preserve">Confirm port in writing with the buyer. Copy the exact name into the Order Data Sheet. Use it from there across all documents — never retype it.</w:t>
            </w:r>
          </w:p>
        </w:tc>
      </w:tr>
      <w:tr>
        <w:tc>
          <w:tcPr>
            <w:tcW w:type="dxa" w:w="600"/>
            <w:tcBorders>
              <w:top w:val="single" w:color="185FA5" w:sz="4" w:space="0"/>
              <w:left w:val="single" w:color="185FA5" w:sz="16" w:space="0"/>
              <w:bottom w:val="single" w:color="185FA5" w:sz="16" w:space="0"/>
              <w:right w:val="single" w:color="185FA5" w:sz="4" w:space="0"/>
            </w:tcBorders>
            <w:shd w:fill="185FA5" w:val="clear"/>
          </w:tcPr>
          <w:p>
            <w:pPr>
              <w:spacing w:after="20"/>
            </w:pPr>
          </w:p>
        </w:tc>
        <w:tc>
          <w:tcPr>
            <w:tcW w:type="dxa" w:w="9038"/>
            <w:tcBorders>
              <w:top w:val="single" w:color="185FA5" w:sz="4" w:space="0"/>
              <w:left w:val="single" w:color="185FA5" w:sz="4" w:space="0"/>
              <w:bottom w:val="single" w:color="185FA5" w:sz="16" w:space="0"/>
              <w:right w:val="single" w:color="185FA5" w:sz="16" w:space="0"/>
            </w:tcBorders>
            <w:shd w:fill="FBEAEA" w:val="clear"/>
            <w:tcMar>
              <w:top w:type="dxa" w:w="80"/>
              <w:left w:type="dxa" w:w="160"/>
              <w:bottom w:type="dxa" w:w="80"/>
              <w:right w:type="dxa" w:w="140"/>
            </w:tcMar>
          </w:tcPr>
          <w:p>
            <w:pPr>
              <w:spacing w:after="120"/>
              <w:jc w:val="left"/>
            </w:pPr>
            <w:r>
              <w:rPr>
                <w:rFonts w:ascii="Arial" w:cs="Arial" w:eastAsia="Arial" w:hAnsi="Arial"/>
                <w:b/>
                <w:bCs/>
                <w:color w:val="A32D2D"/>
                <w:sz w:val="19"/>
                <w:szCs w:val="19"/>
              </w:rPr>
              <w:t xml:space="preserve">⛔  EXACT PORT NAME. SAME ACROSS ALL 7 DOCUMENTS. COPIED NOT RETYPED.</w:t>
            </w:r>
          </w:p>
          <w:p>
            <w:pPr>
              <w:spacing w:after="0"/>
              <w:jc w:val="left"/>
            </w:pPr>
            <w:r>
              <w:rPr>
                <w:rFonts w:ascii="Arial" w:cs="Arial" w:eastAsia="Arial" w:hAnsi="Arial"/>
                <w:i/>
                <w:iCs/>
                <w:color w:val="666666"/>
                <w:sz w:val="16"/>
                <w:szCs w:val="16"/>
              </w:rPr>
              <w:t xml:space="preserve">📖  For full context on this step — see Format A for the quick version.</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9038"/>
      </w:tblGrid>
      <w:tr>
        <w:tc>
          <w:tcPr>
            <w:tcW w:type="dxa" w:w="600"/>
            <w:tcBorders>
              <w:top w:val="single" w:color="185FA5" w:sz="16" w:space="0"/>
              <w:left w:val="single" w:color="185FA5" w:sz="16" w:space="0"/>
              <w:bottom w:val="single" w:color="185FA5" w:sz="4" w:space="0"/>
              <w:right w:val="single" w:color="185FA5" w:sz="4" w:space="0"/>
            </w:tcBorders>
            <w:shd w:fill="185FA5" w:val="clear"/>
            <w:tcMar>
              <w:top w:type="dxa" w:w="80"/>
              <w:left w:type="dxa" w:w="100"/>
              <w:bottom w:type="dxa" w:w="60"/>
              <w:right w:type="dxa" w:w="80"/>
            </w:tcMar>
          </w:tcPr>
          <w:p>
            <w:pPr>
              <w:spacing w:after="120"/>
              <w:jc w:val="center"/>
            </w:pPr>
            <w:r>
              <w:rPr>
                <w:rFonts w:ascii="Arial" w:cs="Arial" w:eastAsia="Arial" w:hAnsi="Arial"/>
                <w:b/>
                <w:bCs/>
                <w:color w:val="FFFFFF"/>
                <w:sz w:val="24"/>
                <w:szCs w:val="24"/>
              </w:rPr>
              <w:t xml:space="preserve">STEP 5</w:t>
            </w:r>
          </w:p>
        </w:tc>
        <w:tc>
          <w:tcPr>
            <w:tcW w:type="dxa" w:w="9038"/>
            <w:tcBorders>
              <w:top w:val="single" w:color="185FA5" w:sz="16" w:space="0"/>
              <w:left w:val="single" w:color="185FA5" w:sz="4" w:space="0"/>
              <w:bottom w:val="single" w:color="185FA5" w:sz="4" w:space="0"/>
              <w:right w:val="single" w:color="185FA5" w:sz="16" w:space="0"/>
            </w:tcBorders>
            <w:shd w:fill="E6F1FB" w:val="clear"/>
            <w:tcMar>
              <w:top w:type="dxa" w:w="80"/>
              <w:left w:type="dxa" w:w="160"/>
              <w:bottom w:type="dxa" w:w="60"/>
              <w:right w:type="dxa" w:w="140"/>
            </w:tcMar>
          </w:tcPr>
          <w:p>
            <w:pPr>
              <w:spacing w:after="120"/>
              <w:jc w:val="left"/>
            </w:pPr>
            <w:r>
              <w:rPr>
                <w:rFonts w:ascii="Arial" w:cs="Arial" w:eastAsia="Arial" w:hAnsi="Arial"/>
                <w:b/>
                <w:bCs/>
                <w:color w:val="17233A"/>
                <w:sz w:val="22"/>
                <w:szCs w:val="22"/>
              </w:rPr>
              <w:t xml:space="preserve">Prepare QT — Payment Terms Finality Starts Here</w:t>
            </w:r>
          </w:p>
        </w:tc>
      </w:tr>
      <w:tr>
        <w:tc>
          <w:tcPr>
            <w:tcW w:type="dxa" w:w="600"/>
            <w:tcBorders>
              <w:top w:val="single" w:color="185FA5" w:sz="4" w:space="0"/>
              <w:left w:val="single" w:color="185FA5" w:sz="16" w:space="0"/>
              <w:bottom w:val="single" w:color="185FA5" w:sz="4" w:space="0"/>
              <w:right w:val="single" w:color="185FA5" w:sz="4" w:space="0"/>
            </w:tcBorders>
            <w:shd w:fill="185FA5" w:val="clear"/>
          </w:tcPr>
          <w:p>
            <w:pPr>
              <w:spacing w:after="20"/>
            </w:pPr>
          </w:p>
        </w:tc>
        <w:tc>
          <w:tcPr>
            <w:tcW w:type="dxa" w:w="9038"/>
            <w:tcBorders>
              <w:top w:val="single" w:color="185FA5" w:sz="4" w:space="0"/>
              <w:left w:val="single" w:color="185FA5" w:sz="4" w:space="0"/>
              <w:bottom w:val="single" w:color="185FA5" w:sz="4" w:space="0"/>
              <w:right w:val="single" w:color="185FA5" w:sz="16" w:space="0"/>
            </w:tcBorders>
            <w:shd w:fill="FFFFFF" w:val="clear"/>
            <w:tcMar>
              <w:top w:type="dxa" w:w="80"/>
              <w:left w:type="dxa" w:w="160"/>
              <w:bottom w:type="dxa" w:w="80"/>
              <w:right w:type="dxa" w:w="140"/>
            </w:tcMar>
          </w:tcPr>
          <w:p>
            <w:pPr>
              <w:spacing w:after="120"/>
              <w:jc w:val="left"/>
            </w:pPr>
            <w:r>
              <w:rPr>
                <w:rFonts w:ascii="Arial" w:cs="Arial" w:eastAsia="Arial" w:hAnsi="Arial"/>
                <w:b/>
                <w:bCs/>
                <w:color w:val="185FA5"/>
                <w:sz w:val="18"/>
                <w:szCs w:val="18"/>
              </w:rPr>
              <w:t xml:space="preserve">Think of it this way:  </w:t>
            </w:r>
            <w:r>
              <w:rPr>
                <w:rFonts w:ascii="Arial" w:cs="Arial" w:eastAsia="Arial" w:hAnsi="Arial"/>
                <w:i/>
                <w:iCs/>
                <w:color w:val="333333"/>
                <w:sz w:val="18"/>
                <w:szCs w:val="18"/>
              </w:rPr>
              <w:t xml:space="preserve">You and a buyer agree on a deal. The QT says '40% advance, 60% before shipment.' The buyer accepts. You issue the PI. Somewhere in the retyping, '60% before shipment' becomes '60% prior to dispatch.' Same meaning. Different words. The buyer pays 40%. Production starts. The 60% comes due. The buyer does not want to pay. Their lawyer compares QT and PI. They find the difference. Now the buyer argues the PI introduced new terms they never agreed to. You are in a dispute — not because you cheated anyone — because two words were different.</w:t>
            </w:r>
          </w:p>
        </w:tc>
      </w:tr>
      <w:tr>
        <w:tc>
          <w:tcPr>
            <w:tcW w:type="dxa" w:w="600"/>
            <w:tcBorders>
              <w:top w:val="single" w:color="185FA5" w:sz="4" w:space="0"/>
              <w:left w:val="single" w:color="185FA5" w:sz="16" w:space="0"/>
              <w:bottom w:val="single" w:color="185FA5" w:sz="4" w:space="0"/>
              <w:right w:val="single" w:color="185FA5" w:sz="4" w:space="0"/>
            </w:tcBorders>
            <w:shd w:fill="185FA5" w:val="clear"/>
          </w:tcPr>
          <w:p>
            <w:pPr>
              <w:spacing w:after="20"/>
            </w:pPr>
          </w:p>
        </w:tc>
        <w:tc>
          <w:tcPr>
            <w:tcW w:type="dxa" w:w="9038"/>
            <w:tcBorders>
              <w:top w:val="single" w:color="185FA5" w:sz="4" w:space="0"/>
              <w:left w:val="single" w:color="185FA5" w:sz="4" w:space="0"/>
              <w:bottom w:val="single" w:color="185FA5" w:sz="4" w:space="0"/>
              <w:right w:val="single" w:color="185FA5" w:sz="16" w:space="0"/>
            </w:tcBorders>
            <w:shd w:fill="F8F8F8" w:val="clear"/>
            <w:tcMar>
              <w:top w:type="dxa" w:w="80"/>
              <w:left w:type="dxa" w:w="160"/>
              <w:bottom w:type="dxa" w:w="80"/>
              <w:right w:type="dxa" w:w="140"/>
            </w:tcMar>
          </w:tcPr>
          <w:p>
            <w:pPr>
              <w:spacing w:after="120"/>
              <w:jc w:val="left"/>
            </w:pPr>
            <w:r>
              <w:rPr>
                <w:rFonts w:ascii="Arial" w:cs="Arial" w:eastAsia="Arial" w:hAnsi="Arial"/>
                <w:b/>
                <w:bCs/>
                <w:color w:val="A32D2D"/>
                <w:sz w:val="18"/>
                <w:szCs w:val="18"/>
              </w:rPr>
              <w:t xml:space="preserve">🔴  WHAT TO DO:  </w:t>
            </w:r>
            <w:r>
              <w:rPr>
                <w:rFonts w:ascii="Arial" w:cs="Arial" w:eastAsia="Arial" w:hAnsi="Arial"/>
                <w:sz w:val="18"/>
                <w:szCs w:val="18"/>
              </w:rPr>
              <w:t xml:space="preserve">Open the QT template from the correct tier folder. Populate all fields from the Order Data Sheet — do not retype, copy. Assign the QT number. Set Valid Until = 30 days from today. Verify Buyer Inquiry REF is in the meta bar. Verify all three legal clauses are in the T&amp;C. If sending with Annexure A — merge as one PDF before sending. Do not send as two separate files.</w:t>
            </w:r>
          </w:p>
        </w:tc>
      </w:tr>
      <w:tr>
        <w:tc>
          <w:tcPr>
            <w:tcW w:type="dxa" w:w="600"/>
            <w:tcBorders>
              <w:top w:val="single" w:color="185FA5" w:sz="4" w:space="0"/>
              <w:left w:val="single" w:color="185FA5" w:sz="16" w:space="0"/>
              <w:bottom w:val="single" w:color="185FA5" w:sz="4" w:space="0"/>
              <w:right w:val="single" w:color="185FA5" w:sz="4" w:space="0"/>
            </w:tcBorders>
            <w:shd w:fill="185FA5" w:val="clear"/>
          </w:tcPr>
          <w:p>
            <w:pPr>
              <w:spacing w:after="20"/>
            </w:pPr>
          </w:p>
        </w:tc>
        <w:tc>
          <w:tcPr>
            <w:tcW w:type="dxa" w:w="9038"/>
            <w:tcBorders>
              <w:top w:val="single" w:color="185FA5" w:sz="4" w:space="0"/>
              <w:left w:val="single" w:color="185FA5" w:sz="4" w:space="0"/>
              <w:bottom w:val="single" w:color="185FA5" w:sz="4" w:space="0"/>
              <w:right w:val="single" w:color="185FA5" w:sz="16" w:space="0"/>
            </w:tcBorders>
            <w:shd w:fill="FBEAEA" w:val="clear"/>
            <w:tcMar>
              <w:top w:type="dxa" w:w="80"/>
              <w:left w:type="dxa" w:w="160"/>
              <w:bottom w:type="dxa" w:w="80"/>
              <w:right w:type="dxa" w:w="140"/>
            </w:tcMar>
          </w:tcPr>
          <w:p>
            <w:pPr>
              <w:spacing w:after="120"/>
              <w:jc w:val="left"/>
            </w:pPr>
            <w:r>
              <w:rPr>
                <w:rFonts w:ascii="Arial" w:cs="Arial" w:eastAsia="Arial" w:hAnsi="Arial"/>
                <w:b/>
                <w:bCs/>
                <w:color w:val="A32D2D"/>
                <w:sz w:val="18"/>
                <w:szCs w:val="18"/>
              </w:rPr>
              <w:t xml:space="preserve">❓  WHAT HAPPENS IF YOU SKIP THIS:  </w:t>
            </w:r>
            <w:r>
              <w:rPr>
                <w:rFonts w:ascii="Arial" w:cs="Arial" w:eastAsia="Arial" w:hAnsi="Arial"/>
                <w:color w:val="A32D2D"/>
                <w:sz w:val="18"/>
                <w:szCs w:val="18"/>
              </w:rPr>
              <w:t xml:space="preserve">A QT without the three legal clauses has no Payment Terms Finality protection, no Dispute Resolution mechanism, and no Order of Precedence defence. If a buyer attaches their own conflicting T&amp;C to their returning PO — and your QT had no Order of Precedence clause — their terms may be argued to apply.</w:t>
            </w:r>
          </w:p>
        </w:tc>
      </w:tr>
      <w:tr>
        <w:tc>
          <w:tcPr>
            <w:tcW w:type="dxa" w:w="600"/>
            <w:tcBorders>
              <w:top w:val="single" w:color="185FA5" w:sz="4" w:space="0"/>
              <w:left w:val="single" w:color="185FA5" w:sz="16" w:space="0"/>
              <w:bottom w:val="single" w:color="185FA5" w:sz="4" w:space="0"/>
              <w:right w:val="single" w:color="185FA5" w:sz="4" w:space="0"/>
            </w:tcBorders>
            <w:shd w:fill="185FA5" w:val="clear"/>
          </w:tcPr>
          <w:p>
            <w:pPr>
              <w:spacing w:after="20"/>
            </w:pPr>
          </w:p>
        </w:tc>
        <w:tc>
          <w:tcPr>
            <w:tcW w:type="dxa" w:w="9038"/>
            <w:tcBorders>
              <w:top w:val="single" w:color="185FA5" w:sz="4" w:space="0"/>
              <w:left w:val="single" w:color="185FA5" w:sz="4" w:space="0"/>
              <w:bottom w:val="single" w:color="185FA5" w:sz="4" w:space="0"/>
              <w:right w:val="single" w:color="185FA5" w:sz="16" w:space="0"/>
            </w:tcBorders>
            <w:shd w:fill="FFF3CD" w:val="clear"/>
            <w:tcMar>
              <w:top w:type="dxa" w:w="80"/>
              <w:left w:type="dxa" w:w="160"/>
              <w:bottom w:type="dxa" w:w="80"/>
              <w:right w:type="dxa" w:w="140"/>
            </w:tcMar>
          </w:tcPr>
          <w:p>
            <w:pPr>
              <w:spacing w:after="120"/>
              <w:jc w:val="left"/>
            </w:pPr>
            <w:r>
              <w:rPr>
                <w:rFonts w:ascii="Arial" w:cs="Arial" w:eastAsia="Arial" w:hAnsi="Arial"/>
                <w:b/>
                <w:bCs/>
                <w:color w:val="854F0B"/>
                <w:sz w:val="18"/>
                <w:szCs w:val="18"/>
              </w:rPr>
              <w:t xml:space="preserve">💡  THE SIMPLE FIX:  </w:t>
            </w:r>
            <w:r>
              <w:rPr>
                <w:rFonts w:ascii="Arial" w:cs="Arial" w:eastAsia="Arial" w:hAnsi="Arial"/>
                <w:color w:val="412402"/>
                <w:sz w:val="18"/>
                <w:szCs w:val="18"/>
              </w:rPr>
              <w:t xml:space="preserve">Copy payment terms from the template — never retype. If the template has an error — fix the template, not the individual document.</w:t>
            </w:r>
          </w:p>
        </w:tc>
      </w:tr>
      <w:tr>
        <w:tc>
          <w:tcPr>
            <w:tcW w:type="dxa" w:w="600"/>
            <w:tcBorders>
              <w:top w:val="single" w:color="185FA5" w:sz="4" w:space="0"/>
              <w:left w:val="single" w:color="185FA5" w:sz="16" w:space="0"/>
              <w:bottom w:val="single" w:color="185FA5" w:sz="16" w:space="0"/>
              <w:right w:val="single" w:color="185FA5" w:sz="4" w:space="0"/>
            </w:tcBorders>
            <w:shd w:fill="185FA5" w:val="clear"/>
          </w:tcPr>
          <w:p>
            <w:pPr>
              <w:spacing w:after="20"/>
            </w:pPr>
          </w:p>
        </w:tc>
        <w:tc>
          <w:tcPr>
            <w:tcW w:type="dxa" w:w="9038"/>
            <w:tcBorders>
              <w:top w:val="single" w:color="185FA5" w:sz="4" w:space="0"/>
              <w:left w:val="single" w:color="185FA5" w:sz="4" w:space="0"/>
              <w:bottom w:val="single" w:color="185FA5" w:sz="16" w:space="0"/>
              <w:right w:val="single" w:color="185FA5" w:sz="16" w:space="0"/>
            </w:tcBorders>
            <w:shd w:fill="FBEAEA" w:val="clear"/>
            <w:tcMar>
              <w:top w:type="dxa" w:w="80"/>
              <w:left w:type="dxa" w:w="160"/>
              <w:bottom w:type="dxa" w:w="80"/>
              <w:right w:type="dxa" w:w="140"/>
            </w:tcMar>
          </w:tcPr>
          <w:p>
            <w:pPr>
              <w:spacing w:after="120"/>
              <w:jc w:val="left"/>
            </w:pPr>
            <w:r>
              <w:rPr>
                <w:rFonts w:ascii="Arial" w:cs="Arial" w:eastAsia="Arial" w:hAnsi="Arial"/>
                <w:b/>
                <w:bCs/>
                <w:color w:val="A32D2D"/>
                <w:sz w:val="19"/>
                <w:szCs w:val="19"/>
              </w:rPr>
              <w:t xml:space="preserve">⛔  CHARACTER-FOR-CHARACTER. EVERY WORD. EVERY NUMBER. EVERY COMMA. NO EXCEPTIONS.</w:t>
            </w:r>
          </w:p>
          <w:p>
            <w:pPr>
              <w:spacing w:after="0"/>
              <w:jc w:val="left"/>
            </w:pPr>
            <w:r>
              <w:rPr>
                <w:rFonts w:ascii="Arial" w:cs="Arial" w:eastAsia="Arial" w:hAnsi="Arial"/>
                <w:i/>
                <w:iCs/>
                <w:color w:val="666666"/>
                <w:sz w:val="16"/>
                <w:szCs w:val="16"/>
              </w:rPr>
              <w:t xml:space="preserve">📖  For full context on this step — see Format A for the quick version.</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9038"/>
      </w:tblGrid>
      <w:tr>
        <w:tc>
          <w:tcPr>
            <w:tcW w:type="dxa" w:w="600"/>
            <w:tcBorders>
              <w:top w:val="single" w:color="185FA5" w:sz="16" w:space="0"/>
              <w:left w:val="single" w:color="185FA5" w:sz="16" w:space="0"/>
              <w:bottom w:val="single" w:color="185FA5" w:sz="4" w:space="0"/>
              <w:right w:val="single" w:color="185FA5" w:sz="4" w:space="0"/>
            </w:tcBorders>
            <w:shd w:fill="185FA5" w:val="clear"/>
            <w:tcMar>
              <w:top w:type="dxa" w:w="80"/>
              <w:left w:type="dxa" w:w="100"/>
              <w:bottom w:type="dxa" w:w="60"/>
              <w:right w:type="dxa" w:w="80"/>
            </w:tcMar>
          </w:tcPr>
          <w:p>
            <w:pPr>
              <w:spacing w:after="120"/>
              <w:jc w:val="center"/>
            </w:pPr>
            <w:r>
              <w:rPr>
                <w:rFonts w:ascii="Arial" w:cs="Arial" w:eastAsia="Arial" w:hAnsi="Arial"/>
                <w:b/>
                <w:bCs/>
                <w:color w:val="FFFFFF"/>
                <w:sz w:val="24"/>
                <w:szCs w:val="24"/>
              </w:rPr>
              <w:t xml:space="preserve">STEP 6</w:t>
            </w:r>
          </w:p>
        </w:tc>
        <w:tc>
          <w:tcPr>
            <w:tcW w:type="dxa" w:w="9038"/>
            <w:tcBorders>
              <w:top w:val="single" w:color="185FA5" w:sz="16" w:space="0"/>
              <w:left w:val="single" w:color="185FA5" w:sz="4" w:space="0"/>
              <w:bottom w:val="single" w:color="185FA5" w:sz="4" w:space="0"/>
              <w:right w:val="single" w:color="185FA5" w:sz="16" w:space="0"/>
            </w:tcBorders>
            <w:shd w:fill="E6F1FB" w:val="clear"/>
            <w:tcMar>
              <w:top w:type="dxa" w:w="80"/>
              <w:left w:type="dxa" w:w="160"/>
              <w:bottom w:type="dxa" w:w="60"/>
              <w:right w:type="dxa" w:w="140"/>
            </w:tcMar>
          </w:tcPr>
          <w:p>
            <w:pPr>
              <w:spacing w:after="120"/>
              <w:jc w:val="left"/>
            </w:pPr>
            <w:r>
              <w:rPr>
                <w:rFonts w:ascii="Arial" w:cs="Arial" w:eastAsia="Arial" w:hAnsi="Arial"/>
                <w:b/>
                <w:bCs/>
                <w:color w:val="17233A"/>
                <w:sz w:val="22"/>
                <w:szCs w:val="22"/>
              </w:rPr>
              <w:t xml:space="preserve">Get Written Acceptance — FILE IT IMMEDIATELY</w:t>
            </w:r>
          </w:p>
        </w:tc>
      </w:tr>
      <w:tr>
        <w:tc>
          <w:tcPr>
            <w:tcW w:type="dxa" w:w="600"/>
            <w:tcBorders>
              <w:top w:val="single" w:color="185FA5" w:sz="4" w:space="0"/>
              <w:left w:val="single" w:color="185FA5" w:sz="16" w:space="0"/>
              <w:bottom w:val="single" w:color="185FA5" w:sz="4" w:space="0"/>
              <w:right w:val="single" w:color="185FA5" w:sz="4" w:space="0"/>
            </w:tcBorders>
            <w:shd w:fill="185FA5" w:val="clear"/>
          </w:tcPr>
          <w:p>
            <w:pPr>
              <w:spacing w:after="20"/>
            </w:pPr>
          </w:p>
        </w:tc>
        <w:tc>
          <w:tcPr>
            <w:tcW w:type="dxa" w:w="9038"/>
            <w:tcBorders>
              <w:top w:val="single" w:color="185FA5" w:sz="4" w:space="0"/>
              <w:left w:val="single" w:color="185FA5" w:sz="4" w:space="0"/>
              <w:bottom w:val="single" w:color="185FA5" w:sz="4" w:space="0"/>
              <w:right w:val="single" w:color="185FA5" w:sz="16" w:space="0"/>
            </w:tcBorders>
            <w:shd w:fill="FFFFFF" w:val="clear"/>
            <w:tcMar>
              <w:top w:type="dxa" w:w="80"/>
              <w:left w:type="dxa" w:w="160"/>
              <w:bottom w:type="dxa" w:w="80"/>
              <w:right w:type="dxa" w:w="140"/>
            </w:tcMar>
          </w:tcPr>
          <w:p>
            <w:pPr>
              <w:spacing w:after="120"/>
              <w:jc w:val="left"/>
            </w:pPr>
            <w:r>
              <w:rPr>
                <w:rFonts w:ascii="Arial" w:cs="Arial" w:eastAsia="Arial" w:hAnsi="Arial"/>
                <w:b/>
                <w:bCs/>
                <w:color w:val="185FA5"/>
                <w:sz w:val="18"/>
                <w:szCs w:val="18"/>
              </w:rPr>
              <w:t xml:space="preserve">Think of it this way:  </w:t>
            </w:r>
            <w:r>
              <w:rPr>
                <w:rFonts w:ascii="Arial" w:cs="Arial" w:eastAsia="Arial" w:hAnsi="Arial"/>
                <w:i/>
                <w:iCs/>
                <w:color w:val="333333"/>
                <w:sz w:val="18"/>
                <w:szCs w:val="18"/>
              </w:rPr>
              <w:t xml:space="preserve">A buyer verbally agrees to your terms. You issue the PI. They pay the advance. Production starts. Then a dispute arises. You say — 'the buyer accepted our terms.' The buyer says — 'we never formally accepted. We just paid the advance.' You have no written acceptance on file. Now you have to prove acceptance from the payment alone — which is possible but significantly harder.</w:t>
            </w:r>
          </w:p>
        </w:tc>
      </w:tr>
      <w:tr>
        <w:tc>
          <w:tcPr>
            <w:tcW w:type="dxa" w:w="600"/>
            <w:tcBorders>
              <w:top w:val="single" w:color="185FA5" w:sz="4" w:space="0"/>
              <w:left w:val="single" w:color="185FA5" w:sz="16" w:space="0"/>
              <w:bottom w:val="single" w:color="185FA5" w:sz="4" w:space="0"/>
              <w:right w:val="single" w:color="185FA5" w:sz="4" w:space="0"/>
            </w:tcBorders>
            <w:shd w:fill="185FA5" w:val="clear"/>
          </w:tcPr>
          <w:p>
            <w:pPr>
              <w:spacing w:after="20"/>
            </w:pPr>
          </w:p>
        </w:tc>
        <w:tc>
          <w:tcPr>
            <w:tcW w:type="dxa" w:w="9038"/>
            <w:tcBorders>
              <w:top w:val="single" w:color="185FA5" w:sz="4" w:space="0"/>
              <w:left w:val="single" w:color="185FA5" w:sz="4" w:space="0"/>
              <w:bottom w:val="single" w:color="185FA5" w:sz="4" w:space="0"/>
              <w:right w:val="single" w:color="185FA5" w:sz="16" w:space="0"/>
            </w:tcBorders>
            <w:shd w:fill="F8F8F8" w:val="clear"/>
            <w:tcMar>
              <w:top w:type="dxa" w:w="80"/>
              <w:left w:type="dxa" w:w="160"/>
              <w:bottom w:type="dxa" w:w="80"/>
              <w:right w:type="dxa" w:w="140"/>
            </w:tcMar>
          </w:tcPr>
          <w:p>
            <w:pPr>
              <w:spacing w:after="120"/>
              <w:jc w:val="left"/>
            </w:pPr>
            <w:r>
              <w:rPr>
                <w:rFonts w:ascii="Arial" w:cs="Arial" w:eastAsia="Arial" w:hAnsi="Arial"/>
                <w:b/>
                <w:bCs/>
                <w:color w:val="A32D2D"/>
                <w:sz w:val="18"/>
                <w:szCs w:val="18"/>
              </w:rPr>
              <w:t xml:space="preserve">🔴  WHAT TO DO:  </w:t>
            </w:r>
            <w:r>
              <w:rPr>
                <w:rFonts w:ascii="Arial" w:cs="Arial" w:eastAsia="Arial" w:hAnsi="Arial"/>
                <w:sz w:val="18"/>
                <w:szCs w:val="18"/>
              </w:rPr>
              <w:t xml:space="preserve">Wait for written acceptance before issuing the PI. This means a signed Buyer PO returned to you, an email from the buyer saying they accept the Quotation, or a written message referencing the QT number. The moment it arrives — save it to the order folder. Do not wait. Do not assume you will save it later.</w:t>
            </w:r>
          </w:p>
        </w:tc>
      </w:tr>
      <w:tr>
        <w:tc>
          <w:tcPr>
            <w:tcW w:type="dxa" w:w="600"/>
            <w:tcBorders>
              <w:top w:val="single" w:color="185FA5" w:sz="4" w:space="0"/>
              <w:left w:val="single" w:color="185FA5" w:sz="16" w:space="0"/>
              <w:bottom w:val="single" w:color="185FA5" w:sz="4" w:space="0"/>
              <w:right w:val="single" w:color="185FA5" w:sz="4" w:space="0"/>
            </w:tcBorders>
            <w:shd w:fill="185FA5" w:val="clear"/>
          </w:tcPr>
          <w:p>
            <w:pPr>
              <w:spacing w:after="20"/>
            </w:pPr>
          </w:p>
        </w:tc>
        <w:tc>
          <w:tcPr>
            <w:tcW w:type="dxa" w:w="9038"/>
            <w:tcBorders>
              <w:top w:val="single" w:color="185FA5" w:sz="4" w:space="0"/>
              <w:left w:val="single" w:color="185FA5" w:sz="4" w:space="0"/>
              <w:bottom w:val="single" w:color="185FA5" w:sz="4" w:space="0"/>
              <w:right w:val="single" w:color="185FA5" w:sz="16" w:space="0"/>
            </w:tcBorders>
            <w:shd w:fill="FBEAEA" w:val="clear"/>
            <w:tcMar>
              <w:top w:type="dxa" w:w="80"/>
              <w:left w:type="dxa" w:w="160"/>
              <w:bottom w:type="dxa" w:w="80"/>
              <w:right w:type="dxa" w:w="140"/>
            </w:tcMar>
          </w:tcPr>
          <w:p>
            <w:pPr>
              <w:spacing w:after="120"/>
              <w:jc w:val="left"/>
            </w:pPr>
            <w:r>
              <w:rPr>
                <w:rFonts w:ascii="Arial" w:cs="Arial" w:eastAsia="Arial" w:hAnsi="Arial"/>
                <w:b/>
                <w:bCs/>
                <w:color w:val="A32D2D"/>
                <w:sz w:val="18"/>
                <w:szCs w:val="18"/>
              </w:rPr>
              <w:t xml:space="preserve">❓  WHAT HAPPENS IF YOU SKIP THIS:  </w:t>
            </w:r>
            <w:r>
              <w:rPr>
                <w:rFonts w:ascii="Arial" w:cs="Arial" w:eastAsia="Arial" w:hAnsi="Arial"/>
                <w:color w:val="A32D2D"/>
                <w:sz w:val="18"/>
                <w:szCs w:val="18"/>
              </w:rPr>
              <w:t xml:space="preserve">Without written acceptance on file, the first question in any dispute is — 'prove the buyer agreed to your terms.' Payment of an advance helps but is not conclusive on its own. Written acceptance is conclusive. One saved document eliminates one entire line of dispute.</w:t>
            </w:r>
          </w:p>
        </w:tc>
      </w:tr>
      <w:tr>
        <w:tc>
          <w:tcPr>
            <w:tcW w:type="dxa" w:w="600"/>
            <w:tcBorders>
              <w:top w:val="single" w:color="185FA5" w:sz="4" w:space="0"/>
              <w:left w:val="single" w:color="185FA5" w:sz="16" w:space="0"/>
              <w:bottom w:val="single" w:color="185FA5" w:sz="4" w:space="0"/>
              <w:right w:val="single" w:color="185FA5" w:sz="4" w:space="0"/>
            </w:tcBorders>
            <w:shd w:fill="185FA5" w:val="clear"/>
          </w:tcPr>
          <w:p>
            <w:pPr>
              <w:spacing w:after="20"/>
            </w:pPr>
          </w:p>
        </w:tc>
        <w:tc>
          <w:tcPr>
            <w:tcW w:type="dxa" w:w="9038"/>
            <w:tcBorders>
              <w:top w:val="single" w:color="185FA5" w:sz="4" w:space="0"/>
              <w:left w:val="single" w:color="185FA5" w:sz="4" w:space="0"/>
              <w:bottom w:val="single" w:color="185FA5" w:sz="4" w:space="0"/>
              <w:right w:val="single" w:color="185FA5" w:sz="16" w:space="0"/>
            </w:tcBorders>
            <w:shd w:fill="FFF3CD" w:val="clear"/>
            <w:tcMar>
              <w:top w:type="dxa" w:w="80"/>
              <w:left w:type="dxa" w:w="160"/>
              <w:bottom w:type="dxa" w:w="80"/>
              <w:right w:type="dxa" w:w="140"/>
            </w:tcMar>
          </w:tcPr>
          <w:p>
            <w:pPr>
              <w:spacing w:after="120"/>
              <w:jc w:val="left"/>
            </w:pPr>
            <w:r>
              <w:rPr>
                <w:rFonts w:ascii="Arial" w:cs="Arial" w:eastAsia="Arial" w:hAnsi="Arial"/>
                <w:b/>
                <w:bCs/>
                <w:color w:val="854F0B"/>
                <w:sz w:val="18"/>
                <w:szCs w:val="18"/>
              </w:rPr>
              <w:t xml:space="preserve">💡  THE SIMPLE FIX:  </w:t>
            </w:r>
            <w:r>
              <w:rPr>
                <w:rFonts w:ascii="Arial" w:cs="Arial" w:eastAsia="Arial" w:hAnsi="Arial"/>
                <w:color w:val="412402"/>
                <w:sz w:val="18"/>
                <w:szCs w:val="18"/>
              </w:rPr>
              <w:t xml:space="preserve">Save written acceptance the moment it arrives. Name the file clearly: [OrderREF]_BuyerAcceptance_[Date]. It may be the most important document in the order folder.</w:t>
            </w:r>
          </w:p>
        </w:tc>
      </w:tr>
      <w:tr>
        <w:tc>
          <w:tcPr>
            <w:tcW w:type="dxa" w:w="600"/>
            <w:tcBorders>
              <w:top w:val="single" w:color="185FA5" w:sz="4" w:space="0"/>
              <w:left w:val="single" w:color="185FA5" w:sz="16" w:space="0"/>
              <w:bottom w:val="single" w:color="185FA5" w:sz="16" w:space="0"/>
              <w:right w:val="single" w:color="185FA5" w:sz="4" w:space="0"/>
            </w:tcBorders>
            <w:shd w:fill="185FA5" w:val="clear"/>
          </w:tcPr>
          <w:p>
            <w:pPr>
              <w:spacing w:after="20"/>
            </w:pPr>
          </w:p>
        </w:tc>
        <w:tc>
          <w:tcPr>
            <w:tcW w:type="dxa" w:w="9038"/>
            <w:tcBorders>
              <w:top w:val="single" w:color="185FA5" w:sz="4" w:space="0"/>
              <w:left w:val="single" w:color="185FA5" w:sz="4" w:space="0"/>
              <w:bottom w:val="single" w:color="185FA5" w:sz="16" w:space="0"/>
              <w:right w:val="single" w:color="185FA5" w:sz="16" w:space="0"/>
            </w:tcBorders>
            <w:shd w:fill="FBEAEA" w:val="clear"/>
            <w:tcMar>
              <w:top w:type="dxa" w:w="80"/>
              <w:left w:type="dxa" w:w="160"/>
              <w:bottom w:type="dxa" w:w="80"/>
              <w:right w:type="dxa" w:w="140"/>
            </w:tcMar>
          </w:tcPr>
          <w:p>
            <w:pPr>
              <w:spacing w:after="120"/>
              <w:jc w:val="left"/>
            </w:pPr>
            <w:r>
              <w:rPr>
                <w:rFonts w:ascii="Arial" w:cs="Arial" w:eastAsia="Arial" w:hAnsi="Arial"/>
                <w:b/>
                <w:bCs/>
                <w:color w:val="A32D2D"/>
                <w:sz w:val="19"/>
                <w:szCs w:val="19"/>
              </w:rPr>
              <w:t xml:space="preserve">⛔  NO PI WITHOUT WRITTEN ACCEPTANCE ON FILE. NO EXCEPTIONS.</w:t>
            </w:r>
          </w:p>
          <w:p>
            <w:pPr>
              <w:spacing w:after="0"/>
              <w:jc w:val="left"/>
            </w:pPr>
            <w:r>
              <w:rPr>
                <w:rFonts w:ascii="Arial" w:cs="Arial" w:eastAsia="Arial" w:hAnsi="Arial"/>
                <w:i/>
                <w:iCs/>
                <w:color w:val="666666"/>
                <w:sz w:val="16"/>
                <w:szCs w:val="16"/>
              </w:rPr>
              <w:t xml:space="preserve">📖  For full context on this step — see Format A for the quick version.</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9038"/>
      </w:tblGrid>
      <w:tr>
        <w:tc>
          <w:tcPr>
            <w:tcW w:type="dxa" w:w="600"/>
            <w:tcBorders>
              <w:top w:val="single" w:color="185FA5" w:sz="16" w:space="0"/>
              <w:left w:val="single" w:color="185FA5" w:sz="16" w:space="0"/>
              <w:bottom w:val="single" w:color="185FA5" w:sz="4" w:space="0"/>
              <w:right w:val="single" w:color="185FA5" w:sz="4" w:space="0"/>
            </w:tcBorders>
            <w:shd w:fill="185FA5" w:val="clear"/>
            <w:tcMar>
              <w:top w:type="dxa" w:w="80"/>
              <w:left w:type="dxa" w:w="100"/>
              <w:bottom w:type="dxa" w:w="60"/>
              <w:right w:type="dxa" w:w="80"/>
            </w:tcMar>
          </w:tcPr>
          <w:p>
            <w:pPr>
              <w:spacing w:after="120"/>
              <w:jc w:val="center"/>
            </w:pPr>
            <w:r>
              <w:rPr>
                <w:rFonts w:ascii="Arial" w:cs="Arial" w:eastAsia="Arial" w:hAnsi="Arial"/>
                <w:b/>
                <w:bCs/>
                <w:color w:val="FFFFFF"/>
                <w:sz w:val="24"/>
                <w:szCs w:val="24"/>
              </w:rPr>
              <w:t xml:space="preserve">STEP 7</w:t>
            </w:r>
          </w:p>
        </w:tc>
        <w:tc>
          <w:tcPr>
            <w:tcW w:type="dxa" w:w="9038"/>
            <w:tcBorders>
              <w:top w:val="single" w:color="185FA5" w:sz="16" w:space="0"/>
              <w:left w:val="single" w:color="185FA5" w:sz="4" w:space="0"/>
              <w:bottom w:val="single" w:color="185FA5" w:sz="4" w:space="0"/>
              <w:right w:val="single" w:color="185FA5" w:sz="16" w:space="0"/>
            </w:tcBorders>
            <w:shd w:fill="E6F1FB" w:val="clear"/>
            <w:tcMar>
              <w:top w:type="dxa" w:w="80"/>
              <w:left w:type="dxa" w:w="160"/>
              <w:bottom w:type="dxa" w:w="60"/>
              <w:right w:type="dxa" w:w="140"/>
            </w:tcMar>
          </w:tcPr>
          <w:p>
            <w:pPr>
              <w:spacing w:after="120"/>
              <w:jc w:val="left"/>
            </w:pPr>
            <w:r>
              <w:rPr>
                <w:rFonts w:ascii="Arial" w:cs="Arial" w:eastAsia="Arial" w:hAnsi="Arial"/>
                <w:b/>
                <w:bCs/>
                <w:color w:val="17233A"/>
                <w:sz w:val="22"/>
                <w:szCs w:val="22"/>
              </w:rPr>
              <w:t xml:space="preserve">Review Buyer's Returning PO for Conflicting Terms</w:t>
            </w:r>
          </w:p>
        </w:tc>
      </w:tr>
      <w:tr>
        <w:tc>
          <w:tcPr>
            <w:tcW w:type="dxa" w:w="600"/>
            <w:tcBorders>
              <w:top w:val="single" w:color="185FA5" w:sz="4" w:space="0"/>
              <w:left w:val="single" w:color="185FA5" w:sz="16" w:space="0"/>
              <w:bottom w:val="single" w:color="185FA5" w:sz="4" w:space="0"/>
              <w:right w:val="single" w:color="185FA5" w:sz="4" w:space="0"/>
            </w:tcBorders>
            <w:shd w:fill="185FA5" w:val="clear"/>
          </w:tcPr>
          <w:p>
            <w:pPr>
              <w:spacing w:after="20"/>
            </w:pPr>
          </w:p>
        </w:tc>
        <w:tc>
          <w:tcPr>
            <w:tcW w:type="dxa" w:w="9038"/>
            <w:tcBorders>
              <w:top w:val="single" w:color="185FA5" w:sz="4" w:space="0"/>
              <w:left w:val="single" w:color="185FA5" w:sz="4" w:space="0"/>
              <w:bottom w:val="single" w:color="185FA5" w:sz="4" w:space="0"/>
              <w:right w:val="single" w:color="185FA5" w:sz="16" w:space="0"/>
            </w:tcBorders>
            <w:shd w:fill="FFFFFF" w:val="clear"/>
            <w:tcMar>
              <w:top w:type="dxa" w:w="80"/>
              <w:left w:type="dxa" w:w="160"/>
              <w:bottom w:type="dxa" w:w="80"/>
              <w:right w:type="dxa" w:w="140"/>
            </w:tcMar>
          </w:tcPr>
          <w:p>
            <w:pPr>
              <w:spacing w:after="120"/>
              <w:jc w:val="left"/>
            </w:pPr>
            <w:r>
              <w:rPr>
                <w:rFonts w:ascii="Arial" w:cs="Arial" w:eastAsia="Arial" w:hAnsi="Arial"/>
                <w:b/>
                <w:bCs/>
                <w:color w:val="185FA5"/>
                <w:sz w:val="18"/>
                <w:szCs w:val="18"/>
              </w:rPr>
              <w:t xml:space="preserve">Think of it this way:  </w:t>
            </w:r>
            <w:r>
              <w:rPr>
                <w:rFonts w:ascii="Arial" w:cs="Arial" w:eastAsia="Arial" w:hAnsi="Arial"/>
                <w:i/>
                <w:iCs/>
                <w:color w:val="333333"/>
                <w:sz w:val="18"/>
                <w:szCs w:val="18"/>
              </w:rPr>
              <w:t xml:space="preserve">A buyer accepts your QT. They return their own Purchase Order as confirmation. On page 2 of their PO — in small print — their standard T&amp;C say 'payment within 60 days of delivery.' You do not read page 2. You issue the PI. Production starts. The goods are delivered. The buyer pays 40 days later citing their own T&amp;C. You argue your PI said payment before shipment. They say their PO terms govern. Now you have a conflict — and you missed the chance to resolve it before any money moved.</w:t>
            </w:r>
          </w:p>
        </w:tc>
      </w:tr>
      <w:tr>
        <w:tc>
          <w:tcPr>
            <w:tcW w:type="dxa" w:w="600"/>
            <w:tcBorders>
              <w:top w:val="single" w:color="185FA5" w:sz="4" w:space="0"/>
              <w:left w:val="single" w:color="185FA5" w:sz="16" w:space="0"/>
              <w:bottom w:val="single" w:color="185FA5" w:sz="4" w:space="0"/>
              <w:right w:val="single" w:color="185FA5" w:sz="4" w:space="0"/>
            </w:tcBorders>
            <w:shd w:fill="185FA5" w:val="clear"/>
          </w:tcPr>
          <w:p>
            <w:pPr>
              <w:spacing w:after="20"/>
            </w:pPr>
          </w:p>
        </w:tc>
        <w:tc>
          <w:tcPr>
            <w:tcW w:type="dxa" w:w="9038"/>
            <w:tcBorders>
              <w:top w:val="single" w:color="185FA5" w:sz="4" w:space="0"/>
              <w:left w:val="single" w:color="185FA5" w:sz="4" w:space="0"/>
              <w:bottom w:val="single" w:color="185FA5" w:sz="4" w:space="0"/>
              <w:right w:val="single" w:color="185FA5" w:sz="16" w:space="0"/>
            </w:tcBorders>
            <w:shd w:fill="F8F8F8" w:val="clear"/>
            <w:tcMar>
              <w:top w:type="dxa" w:w="80"/>
              <w:left w:type="dxa" w:w="160"/>
              <w:bottom w:type="dxa" w:w="80"/>
              <w:right w:type="dxa" w:w="140"/>
            </w:tcMar>
          </w:tcPr>
          <w:p>
            <w:pPr>
              <w:spacing w:after="120"/>
              <w:jc w:val="left"/>
            </w:pPr>
            <w:r>
              <w:rPr>
                <w:rFonts w:ascii="Arial" w:cs="Arial" w:eastAsia="Arial" w:hAnsi="Arial"/>
                <w:b/>
                <w:bCs/>
                <w:color w:val="A32D2D"/>
                <w:sz w:val="18"/>
                <w:szCs w:val="18"/>
              </w:rPr>
              <w:t xml:space="preserve">🔴  WHAT TO DO:  </w:t>
            </w:r>
            <w:r>
              <w:rPr>
                <w:rFonts w:ascii="Arial" w:cs="Arial" w:eastAsia="Arial" w:hAnsi="Arial"/>
                <w:sz w:val="18"/>
                <w:szCs w:val="18"/>
              </w:rPr>
              <w:t xml:space="preserve">When the buyer returns their signed PO — read every page. Look for any payment terms, liability clauses, or T&amp;C that differ from your documents. If anything conflicts — do not proceed. Escalate to MD immediately. Per the Acceptance &amp; Order of Precedence clause in your documents, their conflicting terms do not apply — but you must resolve this before the advance is requested.</w:t>
            </w:r>
          </w:p>
        </w:tc>
      </w:tr>
      <w:tr>
        <w:tc>
          <w:tcPr>
            <w:tcW w:type="dxa" w:w="600"/>
            <w:tcBorders>
              <w:top w:val="single" w:color="185FA5" w:sz="4" w:space="0"/>
              <w:left w:val="single" w:color="185FA5" w:sz="16" w:space="0"/>
              <w:bottom w:val="single" w:color="185FA5" w:sz="4" w:space="0"/>
              <w:right w:val="single" w:color="185FA5" w:sz="4" w:space="0"/>
            </w:tcBorders>
            <w:shd w:fill="185FA5" w:val="clear"/>
          </w:tcPr>
          <w:p>
            <w:pPr>
              <w:spacing w:after="20"/>
            </w:pPr>
          </w:p>
        </w:tc>
        <w:tc>
          <w:tcPr>
            <w:tcW w:type="dxa" w:w="9038"/>
            <w:tcBorders>
              <w:top w:val="single" w:color="185FA5" w:sz="4" w:space="0"/>
              <w:left w:val="single" w:color="185FA5" w:sz="4" w:space="0"/>
              <w:bottom w:val="single" w:color="185FA5" w:sz="4" w:space="0"/>
              <w:right w:val="single" w:color="185FA5" w:sz="16" w:space="0"/>
            </w:tcBorders>
            <w:shd w:fill="FBEAEA" w:val="clear"/>
            <w:tcMar>
              <w:top w:type="dxa" w:w="80"/>
              <w:left w:type="dxa" w:w="160"/>
              <w:bottom w:type="dxa" w:w="80"/>
              <w:right w:type="dxa" w:w="140"/>
            </w:tcMar>
          </w:tcPr>
          <w:p>
            <w:pPr>
              <w:spacing w:after="120"/>
              <w:jc w:val="left"/>
            </w:pPr>
            <w:r>
              <w:rPr>
                <w:rFonts w:ascii="Arial" w:cs="Arial" w:eastAsia="Arial" w:hAnsi="Arial"/>
                <w:b/>
                <w:bCs/>
                <w:color w:val="A32D2D"/>
                <w:sz w:val="18"/>
                <w:szCs w:val="18"/>
              </w:rPr>
              <w:t xml:space="preserve">❓  WHAT HAPPENS IF YOU SKIP THIS:  </w:t>
            </w:r>
            <w:r>
              <w:rPr>
                <w:rFonts w:ascii="Arial" w:cs="Arial" w:eastAsia="Arial" w:hAnsi="Arial"/>
                <w:color w:val="A32D2D"/>
                <w:sz w:val="18"/>
                <w:szCs w:val="18"/>
              </w:rPr>
              <w:t xml:space="preserve">A buyer whose conflicting PO terms are not caught early will use them later as a shield when payment is due. Catching it before the advance means you hold all the leverage. Catching it after the advance is paid means you are in a dispute with money already on the table.</w:t>
            </w:r>
          </w:p>
        </w:tc>
      </w:tr>
      <w:tr>
        <w:tc>
          <w:tcPr>
            <w:tcW w:type="dxa" w:w="600"/>
            <w:tcBorders>
              <w:top w:val="single" w:color="185FA5" w:sz="4" w:space="0"/>
              <w:left w:val="single" w:color="185FA5" w:sz="16" w:space="0"/>
              <w:bottom w:val="single" w:color="185FA5" w:sz="4" w:space="0"/>
              <w:right w:val="single" w:color="185FA5" w:sz="4" w:space="0"/>
            </w:tcBorders>
            <w:shd w:fill="185FA5" w:val="clear"/>
          </w:tcPr>
          <w:p>
            <w:pPr>
              <w:spacing w:after="20"/>
            </w:pPr>
          </w:p>
        </w:tc>
        <w:tc>
          <w:tcPr>
            <w:tcW w:type="dxa" w:w="9038"/>
            <w:tcBorders>
              <w:top w:val="single" w:color="185FA5" w:sz="4" w:space="0"/>
              <w:left w:val="single" w:color="185FA5" w:sz="4" w:space="0"/>
              <w:bottom w:val="single" w:color="185FA5" w:sz="4" w:space="0"/>
              <w:right w:val="single" w:color="185FA5" w:sz="16" w:space="0"/>
            </w:tcBorders>
            <w:shd w:fill="FFF3CD" w:val="clear"/>
            <w:tcMar>
              <w:top w:type="dxa" w:w="80"/>
              <w:left w:type="dxa" w:w="160"/>
              <w:bottom w:type="dxa" w:w="80"/>
              <w:right w:type="dxa" w:w="140"/>
            </w:tcMar>
          </w:tcPr>
          <w:p>
            <w:pPr>
              <w:spacing w:after="120"/>
              <w:jc w:val="left"/>
            </w:pPr>
            <w:r>
              <w:rPr>
                <w:rFonts w:ascii="Arial" w:cs="Arial" w:eastAsia="Arial" w:hAnsi="Arial"/>
                <w:b/>
                <w:bCs/>
                <w:color w:val="854F0B"/>
                <w:sz w:val="18"/>
                <w:szCs w:val="18"/>
              </w:rPr>
              <w:t xml:space="preserve">💡  THE SIMPLE FIX:  </w:t>
            </w:r>
            <w:r>
              <w:rPr>
                <w:rFonts w:ascii="Arial" w:cs="Arial" w:eastAsia="Arial" w:hAnsi="Arial"/>
                <w:color w:val="412402"/>
                <w:sz w:val="18"/>
                <w:szCs w:val="18"/>
              </w:rPr>
              <w:t xml:space="preserve">Read every page of the buyer's returning PO. If anything conflicts — stop and escalate. Never assume a buyer's PO mirrors your terms.</w:t>
            </w:r>
          </w:p>
        </w:tc>
      </w:tr>
      <w:tr>
        <w:tc>
          <w:tcPr>
            <w:tcW w:type="dxa" w:w="600"/>
            <w:tcBorders>
              <w:top w:val="single" w:color="185FA5" w:sz="4" w:space="0"/>
              <w:left w:val="single" w:color="185FA5" w:sz="16" w:space="0"/>
              <w:bottom w:val="single" w:color="185FA5" w:sz="16" w:space="0"/>
              <w:right w:val="single" w:color="185FA5" w:sz="4" w:space="0"/>
            </w:tcBorders>
            <w:shd w:fill="185FA5" w:val="clear"/>
          </w:tcPr>
          <w:p>
            <w:pPr>
              <w:spacing w:after="20"/>
            </w:pPr>
          </w:p>
        </w:tc>
        <w:tc>
          <w:tcPr>
            <w:tcW w:type="dxa" w:w="9038"/>
            <w:tcBorders>
              <w:top w:val="single" w:color="185FA5" w:sz="4" w:space="0"/>
              <w:left w:val="single" w:color="185FA5" w:sz="4" w:space="0"/>
              <w:bottom w:val="single" w:color="185FA5" w:sz="16" w:space="0"/>
              <w:right w:val="single" w:color="185FA5" w:sz="16" w:space="0"/>
            </w:tcBorders>
            <w:shd w:fill="FBEAEA" w:val="clear"/>
            <w:tcMar>
              <w:top w:type="dxa" w:w="80"/>
              <w:left w:type="dxa" w:w="160"/>
              <w:bottom w:type="dxa" w:w="80"/>
              <w:right w:type="dxa" w:w="140"/>
            </w:tcMar>
          </w:tcPr>
          <w:p>
            <w:pPr>
              <w:spacing w:after="120"/>
              <w:jc w:val="left"/>
            </w:pPr>
            <w:r>
              <w:rPr>
                <w:rFonts w:ascii="Arial" w:cs="Arial" w:eastAsia="Arial" w:hAnsi="Arial"/>
                <w:b/>
                <w:bCs/>
                <w:color w:val="A32D2D"/>
                <w:sz w:val="19"/>
                <w:szCs w:val="19"/>
              </w:rPr>
              <w:t xml:space="preserve">⛔  READ EVERY PAGE OF BUYER'S PO. ANY CONFLICT — STOP AND ESCALATE TO MD.</w:t>
            </w:r>
          </w:p>
          <w:p>
            <w:pPr>
              <w:spacing w:after="0"/>
              <w:jc w:val="left"/>
            </w:pPr>
            <w:r>
              <w:rPr>
                <w:rFonts w:ascii="Arial" w:cs="Arial" w:eastAsia="Arial" w:hAnsi="Arial"/>
                <w:i/>
                <w:iCs/>
                <w:color w:val="666666"/>
                <w:sz w:val="16"/>
                <w:szCs w:val="16"/>
              </w:rPr>
              <w:t xml:space="preserve">📖  For full context on this step — see Format A for the quick version.</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9038"/>
      </w:tblGrid>
      <w:tr>
        <w:tc>
          <w:tcPr>
            <w:tcW w:type="dxa" w:w="600"/>
            <w:tcBorders>
              <w:top w:val="single" w:color="185FA5" w:sz="16" w:space="0"/>
              <w:left w:val="single" w:color="185FA5" w:sz="16" w:space="0"/>
              <w:bottom w:val="single" w:color="185FA5" w:sz="4" w:space="0"/>
              <w:right w:val="single" w:color="185FA5" w:sz="4" w:space="0"/>
            </w:tcBorders>
            <w:shd w:fill="185FA5" w:val="clear"/>
            <w:tcMar>
              <w:top w:type="dxa" w:w="80"/>
              <w:left w:type="dxa" w:w="100"/>
              <w:bottom w:type="dxa" w:w="60"/>
              <w:right w:type="dxa" w:w="80"/>
            </w:tcMar>
          </w:tcPr>
          <w:p>
            <w:pPr>
              <w:spacing w:after="120"/>
              <w:jc w:val="center"/>
            </w:pPr>
            <w:r>
              <w:rPr>
                <w:rFonts w:ascii="Arial" w:cs="Arial" w:eastAsia="Arial" w:hAnsi="Arial"/>
                <w:b/>
                <w:bCs/>
                <w:color w:val="FFFFFF"/>
                <w:sz w:val="24"/>
                <w:szCs w:val="24"/>
              </w:rPr>
              <w:t xml:space="preserve">STEP 8</w:t>
            </w:r>
          </w:p>
        </w:tc>
        <w:tc>
          <w:tcPr>
            <w:tcW w:type="dxa" w:w="9038"/>
            <w:tcBorders>
              <w:top w:val="single" w:color="185FA5" w:sz="16" w:space="0"/>
              <w:left w:val="single" w:color="185FA5" w:sz="4" w:space="0"/>
              <w:bottom w:val="single" w:color="185FA5" w:sz="4" w:space="0"/>
              <w:right w:val="single" w:color="185FA5" w:sz="16" w:space="0"/>
            </w:tcBorders>
            <w:shd w:fill="E6F1FB" w:val="clear"/>
            <w:tcMar>
              <w:top w:type="dxa" w:w="80"/>
              <w:left w:type="dxa" w:w="160"/>
              <w:bottom w:type="dxa" w:w="60"/>
              <w:right w:type="dxa" w:w="140"/>
            </w:tcMar>
          </w:tcPr>
          <w:p>
            <w:pPr>
              <w:spacing w:after="120"/>
              <w:jc w:val="left"/>
            </w:pPr>
            <w:r>
              <w:rPr>
                <w:rFonts w:ascii="Arial" w:cs="Arial" w:eastAsia="Arial" w:hAnsi="Arial"/>
                <w:b/>
                <w:bCs/>
                <w:color w:val="17233A"/>
                <w:sz w:val="22"/>
                <w:szCs w:val="22"/>
              </w:rPr>
              <w:t xml:space="preserve">Issue PI — Verify Before Sending</w:t>
            </w:r>
          </w:p>
        </w:tc>
      </w:tr>
      <w:tr>
        <w:tc>
          <w:tcPr>
            <w:tcW w:type="dxa" w:w="600"/>
            <w:tcBorders>
              <w:top w:val="single" w:color="185FA5" w:sz="4" w:space="0"/>
              <w:left w:val="single" w:color="185FA5" w:sz="16" w:space="0"/>
              <w:bottom w:val="single" w:color="185FA5" w:sz="4" w:space="0"/>
              <w:right w:val="single" w:color="185FA5" w:sz="4" w:space="0"/>
            </w:tcBorders>
            <w:shd w:fill="185FA5" w:val="clear"/>
          </w:tcPr>
          <w:p>
            <w:pPr>
              <w:spacing w:after="20"/>
            </w:pPr>
          </w:p>
        </w:tc>
        <w:tc>
          <w:tcPr>
            <w:tcW w:type="dxa" w:w="9038"/>
            <w:tcBorders>
              <w:top w:val="single" w:color="185FA5" w:sz="4" w:space="0"/>
              <w:left w:val="single" w:color="185FA5" w:sz="4" w:space="0"/>
              <w:bottom w:val="single" w:color="185FA5" w:sz="4" w:space="0"/>
              <w:right w:val="single" w:color="185FA5" w:sz="16" w:space="0"/>
            </w:tcBorders>
            <w:shd w:fill="FFFFFF" w:val="clear"/>
            <w:tcMar>
              <w:top w:type="dxa" w:w="80"/>
              <w:left w:type="dxa" w:w="160"/>
              <w:bottom w:type="dxa" w:w="80"/>
              <w:right w:type="dxa" w:w="140"/>
            </w:tcMar>
          </w:tcPr>
          <w:p>
            <w:pPr>
              <w:spacing w:after="120"/>
              <w:jc w:val="left"/>
            </w:pPr>
            <w:r>
              <w:rPr>
                <w:rFonts w:ascii="Arial" w:cs="Arial" w:eastAsia="Arial" w:hAnsi="Arial"/>
                <w:b/>
                <w:bCs/>
                <w:color w:val="185FA5"/>
                <w:sz w:val="18"/>
                <w:szCs w:val="18"/>
              </w:rPr>
              <w:t xml:space="preserve">Think of it this way:  </w:t>
            </w:r>
            <w:r>
              <w:rPr>
                <w:rFonts w:ascii="Arial" w:cs="Arial" w:eastAsia="Arial" w:hAnsi="Arial"/>
                <w:i/>
                <w:iCs/>
                <w:color w:val="333333"/>
                <w:sz w:val="18"/>
                <w:szCs w:val="18"/>
              </w:rPr>
              <w:t xml:space="preserve">The PI is the document the buyer pays against. It is the document that locks the payment terms. It is the document that carries all three legal protection clauses. It is the most important document in the order. Sending it with an error — wrong amount, wrong port, wrong payment terms, missing clause — means the error is now locked into the transaction.</w:t>
            </w:r>
          </w:p>
        </w:tc>
      </w:tr>
      <w:tr>
        <w:tc>
          <w:tcPr>
            <w:tcW w:type="dxa" w:w="600"/>
            <w:tcBorders>
              <w:top w:val="single" w:color="185FA5" w:sz="4" w:space="0"/>
              <w:left w:val="single" w:color="185FA5" w:sz="16" w:space="0"/>
              <w:bottom w:val="single" w:color="185FA5" w:sz="4" w:space="0"/>
              <w:right w:val="single" w:color="185FA5" w:sz="4" w:space="0"/>
            </w:tcBorders>
            <w:shd w:fill="185FA5" w:val="clear"/>
          </w:tcPr>
          <w:p>
            <w:pPr>
              <w:spacing w:after="20"/>
            </w:pPr>
          </w:p>
        </w:tc>
        <w:tc>
          <w:tcPr>
            <w:tcW w:type="dxa" w:w="9038"/>
            <w:tcBorders>
              <w:top w:val="single" w:color="185FA5" w:sz="4" w:space="0"/>
              <w:left w:val="single" w:color="185FA5" w:sz="4" w:space="0"/>
              <w:bottom w:val="single" w:color="185FA5" w:sz="4" w:space="0"/>
              <w:right w:val="single" w:color="185FA5" w:sz="16" w:space="0"/>
            </w:tcBorders>
            <w:shd w:fill="F8F8F8" w:val="clear"/>
            <w:tcMar>
              <w:top w:type="dxa" w:w="80"/>
              <w:left w:type="dxa" w:w="160"/>
              <w:bottom w:type="dxa" w:w="80"/>
              <w:right w:type="dxa" w:w="140"/>
            </w:tcMar>
          </w:tcPr>
          <w:p>
            <w:pPr>
              <w:spacing w:after="120"/>
              <w:jc w:val="left"/>
            </w:pPr>
            <w:r>
              <w:rPr>
                <w:rFonts w:ascii="Arial" w:cs="Arial" w:eastAsia="Arial" w:hAnsi="Arial"/>
                <w:b/>
                <w:bCs/>
                <w:color w:val="A32D2D"/>
                <w:sz w:val="18"/>
                <w:szCs w:val="18"/>
              </w:rPr>
              <w:t xml:space="preserve">🔴  WHAT TO DO:  </w:t>
            </w:r>
            <w:r>
              <w:rPr>
                <w:rFonts w:ascii="Arial" w:cs="Arial" w:eastAsia="Arial" w:hAnsi="Arial"/>
                <w:sz w:val="18"/>
                <w:szCs w:val="18"/>
              </w:rPr>
              <w:t xml:space="preserve">Before sending the PI — run through this check: payment terms match QT character-for-character, all three legal clauses present, bank details show correct SWIFT, IFSC, account number and pincode 560095, RBI Purpose Code P0103 visible, Valid Until date correctly calculated as 15 days from PI date, Buyer Inquiry REF in meta bar, buyer name identical to QT. Only then sign, seal, and send.</w:t>
            </w:r>
          </w:p>
        </w:tc>
      </w:tr>
      <w:tr>
        <w:tc>
          <w:tcPr>
            <w:tcW w:type="dxa" w:w="600"/>
            <w:tcBorders>
              <w:top w:val="single" w:color="185FA5" w:sz="4" w:space="0"/>
              <w:left w:val="single" w:color="185FA5" w:sz="16" w:space="0"/>
              <w:bottom w:val="single" w:color="185FA5" w:sz="4" w:space="0"/>
              <w:right w:val="single" w:color="185FA5" w:sz="4" w:space="0"/>
            </w:tcBorders>
            <w:shd w:fill="185FA5" w:val="clear"/>
          </w:tcPr>
          <w:p>
            <w:pPr>
              <w:spacing w:after="20"/>
            </w:pPr>
          </w:p>
        </w:tc>
        <w:tc>
          <w:tcPr>
            <w:tcW w:type="dxa" w:w="9038"/>
            <w:tcBorders>
              <w:top w:val="single" w:color="185FA5" w:sz="4" w:space="0"/>
              <w:left w:val="single" w:color="185FA5" w:sz="4" w:space="0"/>
              <w:bottom w:val="single" w:color="185FA5" w:sz="4" w:space="0"/>
              <w:right w:val="single" w:color="185FA5" w:sz="16" w:space="0"/>
            </w:tcBorders>
            <w:shd w:fill="FBEAEA" w:val="clear"/>
            <w:tcMar>
              <w:top w:type="dxa" w:w="80"/>
              <w:left w:type="dxa" w:w="160"/>
              <w:bottom w:type="dxa" w:w="80"/>
              <w:right w:type="dxa" w:w="140"/>
            </w:tcMar>
          </w:tcPr>
          <w:p>
            <w:pPr>
              <w:spacing w:after="120"/>
              <w:jc w:val="left"/>
            </w:pPr>
            <w:r>
              <w:rPr>
                <w:rFonts w:ascii="Arial" w:cs="Arial" w:eastAsia="Arial" w:hAnsi="Arial"/>
                <w:b/>
                <w:bCs/>
                <w:color w:val="A32D2D"/>
                <w:sz w:val="18"/>
                <w:szCs w:val="18"/>
              </w:rPr>
              <w:t xml:space="preserve">❓  WHAT HAPPENS IF YOU SKIP THIS:  </w:t>
            </w:r>
            <w:r>
              <w:rPr>
                <w:rFonts w:ascii="Arial" w:cs="Arial" w:eastAsia="Arial" w:hAnsi="Arial"/>
                <w:color w:val="A32D2D"/>
                <w:sz w:val="18"/>
                <w:szCs w:val="18"/>
              </w:rPr>
              <w:t xml:space="preserve">An error on the PI is not just a document error. It is a contract error. Correcting it requires issuing a revised PI — which means the buyer must re-accept. If they have already paid on the original PI, the revised PI creates a new document they technically never agreed to pay against. Every correction creates a new opportunity for dispute.</w:t>
            </w:r>
          </w:p>
        </w:tc>
      </w:tr>
      <w:tr>
        <w:tc>
          <w:tcPr>
            <w:tcW w:type="dxa" w:w="600"/>
            <w:tcBorders>
              <w:top w:val="single" w:color="185FA5" w:sz="4" w:space="0"/>
              <w:left w:val="single" w:color="185FA5" w:sz="16" w:space="0"/>
              <w:bottom w:val="single" w:color="185FA5" w:sz="4" w:space="0"/>
              <w:right w:val="single" w:color="185FA5" w:sz="4" w:space="0"/>
            </w:tcBorders>
            <w:shd w:fill="185FA5" w:val="clear"/>
          </w:tcPr>
          <w:p>
            <w:pPr>
              <w:spacing w:after="20"/>
            </w:pPr>
          </w:p>
        </w:tc>
        <w:tc>
          <w:tcPr>
            <w:tcW w:type="dxa" w:w="9038"/>
            <w:tcBorders>
              <w:top w:val="single" w:color="185FA5" w:sz="4" w:space="0"/>
              <w:left w:val="single" w:color="185FA5" w:sz="4" w:space="0"/>
              <w:bottom w:val="single" w:color="185FA5" w:sz="4" w:space="0"/>
              <w:right w:val="single" w:color="185FA5" w:sz="16" w:space="0"/>
            </w:tcBorders>
            <w:shd w:fill="FFF3CD" w:val="clear"/>
            <w:tcMar>
              <w:top w:type="dxa" w:w="80"/>
              <w:left w:type="dxa" w:w="160"/>
              <w:bottom w:type="dxa" w:w="80"/>
              <w:right w:type="dxa" w:w="140"/>
            </w:tcMar>
          </w:tcPr>
          <w:p>
            <w:pPr>
              <w:spacing w:after="120"/>
              <w:jc w:val="left"/>
            </w:pPr>
            <w:r>
              <w:rPr>
                <w:rFonts w:ascii="Arial" w:cs="Arial" w:eastAsia="Arial" w:hAnsi="Arial"/>
                <w:b/>
                <w:bCs/>
                <w:color w:val="854F0B"/>
                <w:sz w:val="18"/>
                <w:szCs w:val="18"/>
              </w:rPr>
              <w:t xml:space="preserve">💡  THE SIMPLE FIX:  </w:t>
            </w:r>
            <w:r>
              <w:rPr>
                <w:rFonts w:ascii="Arial" w:cs="Arial" w:eastAsia="Arial" w:hAnsi="Arial"/>
                <w:color w:val="412402"/>
                <w:sz w:val="18"/>
                <w:szCs w:val="18"/>
              </w:rPr>
              <w:t xml:space="preserve">Check every field against the Order Data Sheet before signing. Two minutes of checking before sending saves days of correction after.</w:t>
            </w:r>
          </w:p>
        </w:tc>
      </w:tr>
      <w:tr>
        <w:tc>
          <w:tcPr>
            <w:tcW w:type="dxa" w:w="600"/>
            <w:tcBorders>
              <w:top w:val="single" w:color="185FA5" w:sz="4" w:space="0"/>
              <w:left w:val="single" w:color="185FA5" w:sz="16" w:space="0"/>
              <w:bottom w:val="single" w:color="185FA5" w:sz="16" w:space="0"/>
              <w:right w:val="single" w:color="185FA5" w:sz="4" w:space="0"/>
            </w:tcBorders>
            <w:shd w:fill="185FA5" w:val="clear"/>
          </w:tcPr>
          <w:p>
            <w:pPr>
              <w:spacing w:after="20"/>
            </w:pPr>
          </w:p>
        </w:tc>
        <w:tc>
          <w:tcPr>
            <w:tcW w:type="dxa" w:w="9038"/>
            <w:tcBorders>
              <w:top w:val="single" w:color="185FA5" w:sz="4" w:space="0"/>
              <w:left w:val="single" w:color="185FA5" w:sz="4" w:space="0"/>
              <w:bottom w:val="single" w:color="185FA5" w:sz="16" w:space="0"/>
              <w:right w:val="single" w:color="185FA5" w:sz="16" w:space="0"/>
            </w:tcBorders>
            <w:shd w:fill="FBEAEA" w:val="clear"/>
            <w:tcMar>
              <w:top w:type="dxa" w:w="80"/>
              <w:left w:type="dxa" w:w="160"/>
              <w:bottom w:type="dxa" w:w="80"/>
              <w:right w:type="dxa" w:w="140"/>
            </w:tcMar>
          </w:tcPr>
          <w:p>
            <w:pPr>
              <w:spacing w:after="120"/>
              <w:jc w:val="left"/>
            </w:pPr>
            <w:r>
              <w:rPr>
                <w:rFonts w:ascii="Arial" w:cs="Arial" w:eastAsia="Arial" w:hAnsi="Arial"/>
                <w:b/>
                <w:bCs/>
                <w:color w:val="A32D2D"/>
                <w:sz w:val="19"/>
                <w:szCs w:val="19"/>
              </w:rPr>
              <w:t xml:space="preserve">⛔  CHECK EVERY FIELD. SIGN. SEAL. SEND. IN THAT ORDER.</w:t>
            </w:r>
          </w:p>
          <w:p>
            <w:pPr>
              <w:spacing w:after="0"/>
              <w:jc w:val="left"/>
            </w:pPr>
            <w:r>
              <w:rPr>
                <w:rFonts w:ascii="Arial" w:cs="Arial" w:eastAsia="Arial" w:hAnsi="Arial"/>
                <w:i/>
                <w:iCs/>
                <w:color w:val="666666"/>
                <w:sz w:val="16"/>
                <w:szCs w:val="16"/>
              </w:rPr>
              <w:t xml:space="preserve">📖  For full context on this step — see Format A for the quick version.</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9038"/>
      </w:tblGrid>
      <w:tr>
        <w:tc>
          <w:tcPr>
            <w:tcW w:type="dxa" w:w="600"/>
            <w:tcBorders>
              <w:top w:val="single" w:color="185FA5" w:sz="16" w:space="0"/>
              <w:left w:val="single" w:color="185FA5" w:sz="16" w:space="0"/>
              <w:bottom w:val="single" w:color="185FA5" w:sz="4" w:space="0"/>
              <w:right w:val="single" w:color="185FA5" w:sz="4" w:space="0"/>
            </w:tcBorders>
            <w:shd w:fill="185FA5" w:val="clear"/>
            <w:tcMar>
              <w:top w:type="dxa" w:w="80"/>
              <w:left w:type="dxa" w:w="100"/>
              <w:bottom w:type="dxa" w:w="60"/>
              <w:right w:type="dxa" w:w="80"/>
            </w:tcMar>
          </w:tcPr>
          <w:p>
            <w:pPr>
              <w:spacing w:after="120"/>
              <w:jc w:val="center"/>
            </w:pPr>
            <w:r>
              <w:rPr>
                <w:rFonts w:ascii="Arial" w:cs="Arial" w:eastAsia="Arial" w:hAnsi="Arial"/>
                <w:b/>
                <w:bCs/>
                <w:color w:val="FFFFFF"/>
                <w:sz w:val="24"/>
                <w:szCs w:val="24"/>
              </w:rPr>
              <w:t xml:space="preserve">STEP 9</w:t>
            </w:r>
          </w:p>
        </w:tc>
        <w:tc>
          <w:tcPr>
            <w:tcW w:type="dxa" w:w="9038"/>
            <w:tcBorders>
              <w:top w:val="single" w:color="185FA5" w:sz="16" w:space="0"/>
              <w:left w:val="single" w:color="185FA5" w:sz="4" w:space="0"/>
              <w:bottom w:val="single" w:color="185FA5" w:sz="4" w:space="0"/>
              <w:right w:val="single" w:color="185FA5" w:sz="16" w:space="0"/>
            </w:tcBorders>
            <w:shd w:fill="E6F1FB" w:val="clear"/>
            <w:tcMar>
              <w:top w:type="dxa" w:w="80"/>
              <w:left w:type="dxa" w:w="160"/>
              <w:bottom w:type="dxa" w:w="60"/>
              <w:right w:type="dxa" w:w="140"/>
            </w:tcMar>
          </w:tcPr>
          <w:p>
            <w:pPr>
              <w:spacing w:after="120"/>
              <w:jc w:val="left"/>
            </w:pPr>
            <w:r>
              <w:rPr>
                <w:rFonts w:ascii="Arial" w:cs="Arial" w:eastAsia="Arial" w:hAnsi="Arial"/>
                <w:b/>
                <w:bCs/>
                <w:color w:val="17233A"/>
                <w:sz w:val="22"/>
                <w:szCs w:val="22"/>
              </w:rPr>
              <w:t xml:space="preserve">Wait for 40% Advance — CLEARED Not Remittance</w:t>
            </w:r>
          </w:p>
        </w:tc>
      </w:tr>
      <w:tr>
        <w:tc>
          <w:tcPr>
            <w:tcW w:type="dxa" w:w="600"/>
            <w:tcBorders>
              <w:top w:val="single" w:color="185FA5" w:sz="4" w:space="0"/>
              <w:left w:val="single" w:color="185FA5" w:sz="16" w:space="0"/>
              <w:bottom w:val="single" w:color="185FA5" w:sz="4" w:space="0"/>
              <w:right w:val="single" w:color="185FA5" w:sz="4" w:space="0"/>
            </w:tcBorders>
            <w:shd w:fill="185FA5" w:val="clear"/>
          </w:tcPr>
          <w:p>
            <w:pPr>
              <w:spacing w:after="20"/>
            </w:pPr>
          </w:p>
        </w:tc>
        <w:tc>
          <w:tcPr>
            <w:tcW w:type="dxa" w:w="9038"/>
            <w:tcBorders>
              <w:top w:val="single" w:color="185FA5" w:sz="4" w:space="0"/>
              <w:left w:val="single" w:color="185FA5" w:sz="4" w:space="0"/>
              <w:bottom w:val="single" w:color="185FA5" w:sz="4" w:space="0"/>
              <w:right w:val="single" w:color="185FA5" w:sz="16" w:space="0"/>
            </w:tcBorders>
            <w:shd w:fill="FFFFFF" w:val="clear"/>
            <w:tcMar>
              <w:top w:type="dxa" w:w="80"/>
              <w:left w:type="dxa" w:w="160"/>
              <w:bottom w:type="dxa" w:w="80"/>
              <w:right w:type="dxa" w:w="140"/>
            </w:tcMar>
          </w:tcPr>
          <w:p>
            <w:pPr>
              <w:spacing w:after="120"/>
              <w:jc w:val="left"/>
            </w:pPr>
            <w:r>
              <w:rPr>
                <w:rFonts w:ascii="Arial" w:cs="Arial" w:eastAsia="Arial" w:hAnsi="Arial"/>
                <w:b/>
                <w:bCs/>
                <w:color w:val="185FA5"/>
                <w:sz w:val="18"/>
                <w:szCs w:val="18"/>
              </w:rPr>
              <w:t xml:space="preserve">Think of it this way:  </w:t>
            </w:r>
            <w:r>
              <w:rPr>
                <w:rFonts w:ascii="Arial" w:cs="Arial" w:eastAsia="Arial" w:hAnsi="Arial"/>
                <w:i/>
                <w:iCs/>
                <w:color w:val="333333"/>
                <w:sz w:val="18"/>
                <w:szCs w:val="18"/>
              </w:rPr>
              <w:t xml:space="preserve">A buyer sends a remittance copy at 5pm on a Friday. You confirm receipt and tell the production team to start Monday. By Wednesday the payment has not arrived in the SBI account. You call the buyer. They say they sent it. You call SBI. The payment is held for compliance review. Production has started. Material is cut. If the payment is ultimately rejected — you have incurred cost against an uncollected payment.</w:t>
            </w:r>
          </w:p>
        </w:tc>
      </w:tr>
      <w:tr>
        <w:tc>
          <w:tcPr>
            <w:tcW w:type="dxa" w:w="600"/>
            <w:tcBorders>
              <w:top w:val="single" w:color="185FA5" w:sz="4" w:space="0"/>
              <w:left w:val="single" w:color="185FA5" w:sz="16" w:space="0"/>
              <w:bottom w:val="single" w:color="185FA5" w:sz="4" w:space="0"/>
              <w:right w:val="single" w:color="185FA5" w:sz="4" w:space="0"/>
            </w:tcBorders>
            <w:shd w:fill="185FA5" w:val="clear"/>
          </w:tcPr>
          <w:p>
            <w:pPr>
              <w:spacing w:after="20"/>
            </w:pPr>
          </w:p>
        </w:tc>
        <w:tc>
          <w:tcPr>
            <w:tcW w:type="dxa" w:w="9038"/>
            <w:tcBorders>
              <w:top w:val="single" w:color="185FA5" w:sz="4" w:space="0"/>
              <w:left w:val="single" w:color="185FA5" w:sz="4" w:space="0"/>
              <w:bottom w:val="single" w:color="185FA5" w:sz="4" w:space="0"/>
              <w:right w:val="single" w:color="185FA5" w:sz="16" w:space="0"/>
            </w:tcBorders>
            <w:shd w:fill="F8F8F8" w:val="clear"/>
            <w:tcMar>
              <w:top w:type="dxa" w:w="80"/>
              <w:left w:type="dxa" w:w="160"/>
              <w:bottom w:type="dxa" w:w="80"/>
              <w:right w:type="dxa" w:w="140"/>
            </w:tcMar>
          </w:tcPr>
          <w:p>
            <w:pPr>
              <w:spacing w:after="120"/>
              <w:jc w:val="left"/>
            </w:pPr>
            <w:r>
              <w:rPr>
                <w:rFonts w:ascii="Arial" w:cs="Arial" w:eastAsia="Arial" w:hAnsi="Arial"/>
                <w:b/>
                <w:bCs/>
                <w:color w:val="A32D2D"/>
                <w:sz w:val="18"/>
                <w:szCs w:val="18"/>
              </w:rPr>
              <w:t xml:space="preserve">🔴  WHAT TO DO:  </w:t>
            </w:r>
            <w:r>
              <w:rPr>
                <w:rFonts w:ascii="Arial" w:cs="Arial" w:eastAsia="Arial" w:hAnsi="Arial"/>
                <w:sz w:val="18"/>
                <w:szCs w:val="18"/>
              </w:rPr>
              <w:t xml:space="preserve">Do not confirm advance received until Accounts confirms the amount is CLEARED in the NexaCrest SBI account. A remittance copy is not payment. A payment confirmation email from the buyer is not payment. Cleared funds in the bank account is payment. Allow 1–2 banking days after remittance copy arrives before expecting clearance.</w:t>
            </w:r>
          </w:p>
        </w:tc>
      </w:tr>
      <w:tr>
        <w:tc>
          <w:tcPr>
            <w:tcW w:type="dxa" w:w="600"/>
            <w:tcBorders>
              <w:top w:val="single" w:color="185FA5" w:sz="4" w:space="0"/>
              <w:left w:val="single" w:color="185FA5" w:sz="16" w:space="0"/>
              <w:bottom w:val="single" w:color="185FA5" w:sz="4" w:space="0"/>
              <w:right w:val="single" w:color="185FA5" w:sz="4" w:space="0"/>
            </w:tcBorders>
            <w:shd w:fill="185FA5" w:val="clear"/>
          </w:tcPr>
          <w:p>
            <w:pPr>
              <w:spacing w:after="20"/>
            </w:pPr>
          </w:p>
        </w:tc>
        <w:tc>
          <w:tcPr>
            <w:tcW w:type="dxa" w:w="9038"/>
            <w:tcBorders>
              <w:top w:val="single" w:color="185FA5" w:sz="4" w:space="0"/>
              <w:left w:val="single" w:color="185FA5" w:sz="4" w:space="0"/>
              <w:bottom w:val="single" w:color="185FA5" w:sz="4" w:space="0"/>
              <w:right w:val="single" w:color="185FA5" w:sz="16" w:space="0"/>
            </w:tcBorders>
            <w:shd w:fill="FBEAEA" w:val="clear"/>
            <w:tcMar>
              <w:top w:type="dxa" w:w="80"/>
              <w:left w:type="dxa" w:w="160"/>
              <w:bottom w:type="dxa" w:w="80"/>
              <w:right w:type="dxa" w:w="140"/>
            </w:tcMar>
          </w:tcPr>
          <w:p>
            <w:pPr>
              <w:spacing w:after="120"/>
              <w:jc w:val="left"/>
            </w:pPr>
            <w:r>
              <w:rPr>
                <w:rFonts w:ascii="Arial" w:cs="Arial" w:eastAsia="Arial" w:hAnsi="Arial"/>
                <w:b/>
                <w:bCs/>
                <w:color w:val="A32D2D"/>
                <w:sz w:val="18"/>
                <w:szCs w:val="18"/>
              </w:rPr>
              <w:t xml:space="preserve">❓  WHAT HAPPENS IF YOU SKIP THIS:  </w:t>
            </w:r>
            <w:r>
              <w:rPr>
                <w:rFonts w:ascii="Arial" w:cs="Arial" w:eastAsia="Arial" w:hAnsi="Arial"/>
                <w:color w:val="A32D2D"/>
                <w:sz w:val="18"/>
                <w:szCs w:val="18"/>
              </w:rPr>
              <w:t xml:space="preserve">Starting production on an uncleared payment is a financial risk that has no upside. If the payment clears — production starts two days later than it would have anyway. If the payment does not clear — you have started production at NexaCrest's cost with no recourse.</w:t>
            </w:r>
          </w:p>
        </w:tc>
      </w:tr>
      <w:tr>
        <w:tc>
          <w:tcPr>
            <w:tcW w:type="dxa" w:w="600"/>
            <w:tcBorders>
              <w:top w:val="single" w:color="185FA5" w:sz="4" w:space="0"/>
              <w:left w:val="single" w:color="185FA5" w:sz="16" w:space="0"/>
              <w:bottom w:val="single" w:color="185FA5" w:sz="4" w:space="0"/>
              <w:right w:val="single" w:color="185FA5" w:sz="4" w:space="0"/>
            </w:tcBorders>
            <w:shd w:fill="185FA5" w:val="clear"/>
          </w:tcPr>
          <w:p>
            <w:pPr>
              <w:spacing w:after="20"/>
            </w:pPr>
          </w:p>
        </w:tc>
        <w:tc>
          <w:tcPr>
            <w:tcW w:type="dxa" w:w="9038"/>
            <w:tcBorders>
              <w:top w:val="single" w:color="185FA5" w:sz="4" w:space="0"/>
              <w:left w:val="single" w:color="185FA5" w:sz="4" w:space="0"/>
              <w:bottom w:val="single" w:color="185FA5" w:sz="4" w:space="0"/>
              <w:right w:val="single" w:color="185FA5" w:sz="16" w:space="0"/>
            </w:tcBorders>
            <w:shd w:fill="FFF3CD" w:val="clear"/>
            <w:tcMar>
              <w:top w:type="dxa" w:w="80"/>
              <w:left w:type="dxa" w:w="160"/>
              <w:bottom w:type="dxa" w:w="80"/>
              <w:right w:type="dxa" w:w="140"/>
            </w:tcMar>
          </w:tcPr>
          <w:p>
            <w:pPr>
              <w:spacing w:after="120"/>
              <w:jc w:val="left"/>
            </w:pPr>
            <w:r>
              <w:rPr>
                <w:rFonts w:ascii="Arial" w:cs="Arial" w:eastAsia="Arial" w:hAnsi="Arial"/>
                <w:b/>
                <w:bCs/>
                <w:color w:val="854F0B"/>
                <w:sz w:val="18"/>
                <w:szCs w:val="18"/>
              </w:rPr>
              <w:t xml:space="preserve">💡  THE SIMPLE FIX:  </w:t>
            </w:r>
            <w:r>
              <w:rPr>
                <w:rFonts w:ascii="Arial" w:cs="Arial" w:eastAsia="Arial" w:hAnsi="Arial"/>
                <w:color w:val="412402"/>
                <w:sz w:val="18"/>
                <w:szCs w:val="18"/>
              </w:rPr>
              <w:t xml:space="preserve">Tell the buyer clearly when PI is sent: 'Production commences only after advance payment is cleared in our bank account — not on receipt of remittance copy. Please allow 1–2 banking days for clearance confirmation.'</w:t>
            </w:r>
          </w:p>
        </w:tc>
      </w:tr>
      <w:tr>
        <w:tc>
          <w:tcPr>
            <w:tcW w:type="dxa" w:w="600"/>
            <w:tcBorders>
              <w:top w:val="single" w:color="185FA5" w:sz="4" w:space="0"/>
              <w:left w:val="single" w:color="185FA5" w:sz="16" w:space="0"/>
              <w:bottom w:val="single" w:color="185FA5" w:sz="16" w:space="0"/>
              <w:right w:val="single" w:color="185FA5" w:sz="4" w:space="0"/>
            </w:tcBorders>
            <w:shd w:fill="185FA5" w:val="clear"/>
          </w:tcPr>
          <w:p>
            <w:pPr>
              <w:spacing w:after="20"/>
            </w:pPr>
          </w:p>
        </w:tc>
        <w:tc>
          <w:tcPr>
            <w:tcW w:type="dxa" w:w="9038"/>
            <w:tcBorders>
              <w:top w:val="single" w:color="185FA5" w:sz="4" w:space="0"/>
              <w:left w:val="single" w:color="185FA5" w:sz="4" w:space="0"/>
              <w:bottom w:val="single" w:color="185FA5" w:sz="16" w:space="0"/>
              <w:right w:val="single" w:color="185FA5" w:sz="16" w:space="0"/>
            </w:tcBorders>
            <w:shd w:fill="FBEAEA" w:val="clear"/>
            <w:tcMar>
              <w:top w:type="dxa" w:w="80"/>
              <w:left w:type="dxa" w:w="160"/>
              <w:bottom w:type="dxa" w:w="80"/>
              <w:right w:type="dxa" w:w="140"/>
            </w:tcMar>
          </w:tcPr>
          <w:p>
            <w:pPr>
              <w:spacing w:after="120"/>
              <w:jc w:val="left"/>
            </w:pPr>
            <w:r>
              <w:rPr>
                <w:rFonts w:ascii="Arial" w:cs="Arial" w:eastAsia="Arial" w:hAnsi="Arial"/>
                <w:b/>
                <w:bCs/>
                <w:color w:val="A32D2D"/>
                <w:sz w:val="19"/>
                <w:szCs w:val="19"/>
              </w:rPr>
              <w:t xml:space="preserve">⛔  CLEARED IN SBI ACCOUNT. NOT REMITTANCE COPY. NOT BUYER'S CONFIRMATION.</w:t>
            </w:r>
          </w:p>
          <w:p>
            <w:pPr>
              <w:spacing w:after="0"/>
              <w:jc w:val="left"/>
            </w:pPr>
            <w:r>
              <w:rPr>
                <w:rFonts w:ascii="Arial" w:cs="Arial" w:eastAsia="Arial" w:hAnsi="Arial"/>
                <w:i/>
                <w:iCs/>
                <w:color w:val="666666"/>
                <w:sz w:val="16"/>
                <w:szCs w:val="16"/>
              </w:rPr>
              <w:t xml:space="preserve">📖  For full context on this step — see Format A for the quick version.</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9038"/>
      </w:tblGrid>
      <w:tr>
        <w:tc>
          <w:tcPr>
            <w:tcW w:type="dxa" w:w="600"/>
            <w:tcBorders>
              <w:top w:val="single" w:color="185FA5" w:sz="16" w:space="0"/>
              <w:left w:val="single" w:color="185FA5" w:sz="16" w:space="0"/>
              <w:bottom w:val="single" w:color="185FA5" w:sz="4" w:space="0"/>
              <w:right w:val="single" w:color="185FA5" w:sz="4" w:space="0"/>
            </w:tcBorders>
            <w:shd w:fill="185FA5" w:val="clear"/>
            <w:tcMar>
              <w:top w:type="dxa" w:w="80"/>
              <w:left w:type="dxa" w:w="100"/>
              <w:bottom w:type="dxa" w:w="60"/>
              <w:right w:type="dxa" w:w="80"/>
            </w:tcMar>
          </w:tcPr>
          <w:p>
            <w:pPr>
              <w:spacing w:after="120"/>
              <w:jc w:val="center"/>
            </w:pPr>
            <w:r>
              <w:rPr>
                <w:rFonts w:ascii="Arial" w:cs="Arial" w:eastAsia="Arial" w:hAnsi="Arial"/>
                <w:b/>
                <w:bCs/>
                <w:color w:val="FFFFFF"/>
                <w:sz w:val="24"/>
                <w:szCs w:val="24"/>
              </w:rPr>
              <w:t xml:space="preserve">STEP 10</w:t>
            </w:r>
          </w:p>
        </w:tc>
        <w:tc>
          <w:tcPr>
            <w:tcW w:type="dxa" w:w="9038"/>
            <w:tcBorders>
              <w:top w:val="single" w:color="185FA5" w:sz="16" w:space="0"/>
              <w:left w:val="single" w:color="185FA5" w:sz="4" w:space="0"/>
              <w:bottom w:val="single" w:color="185FA5" w:sz="4" w:space="0"/>
              <w:right w:val="single" w:color="185FA5" w:sz="16" w:space="0"/>
            </w:tcBorders>
            <w:shd w:fill="E6F1FB" w:val="clear"/>
            <w:tcMar>
              <w:top w:type="dxa" w:w="80"/>
              <w:left w:type="dxa" w:w="160"/>
              <w:bottom w:type="dxa" w:w="60"/>
              <w:right w:type="dxa" w:w="140"/>
            </w:tcMar>
          </w:tcPr>
          <w:p>
            <w:pPr>
              <w:spacing w:after="120"/>
              <w:jc w:val="left"/>
            </w:pPr>
            <w:r>
              <w:rPr>
                <w:rFonts w:ascii="Arial" w:cs="Arial" w:eastAsia="Arial" w:hAnsi="Arial"/>
                <w:b/>
                <w:bCs/>
                <w:color w:val="17233A"/>
                <w:sz w:val="22"/>
                <w:szCs w:val="22"/>
              </w:rPr>
              <w:t xml:space="preserve">Archive Everything — From First Contact</w:t>
            </w:r>
          </w:p>
        </w:tc>
      </w:tr>
      <w:tr>
        <w:tc>
          <w:tcPr>
            <w:tcW w:type="dxa" w:w="600"/>
            <w:tcBorders>
              <w:top w:val="single" w:color="185FA5" w:sz="4" w:space="0"/>
              <w:left w:val="single" w:color="185FA5" w:sz="16" w:space="0"/>
              <w:bottom w:val="single" w:color="185FA5" w:sz="4" w:space="0"/>
              <w:right w:val="single" w:color="185FA5" w:sz="4" w:space="0"/>
            </w:tcBorders>
            <w:shd w:fill="185FA5" w:val="clear"/>
          </w:tcPr>
          <w:p>
            <w:pPr>
              <w:spacing w:after="20"/>
            </w:pPr>
          </w:p>
        </w:tc>
        <w:tc>
          <w:tcPr>
            <w:tcW w:type="dxa" w:w="9038"/>
            <w:tcBorders>
              <w:top w:val="single" w:color="185FA5" w:sz="4" w:space="0"/>
              <w:left w:val="single" w:color="185FA5" w:sz="4" w:space="0"/>
              <w:bottom w:val="single" w:color="185FA5" w:sz="4" w:space="0"/>
              <w:right w:val="single" w:color="185FA5" w:sz="16" w:space="0"/>
            </w:tcBorders>
            <w:shd w:fill="FFFFFF" w:val="clear"/>
            <w:tcMar>
              <w:top w:type="dxa" w:w="80"/>
              <w:left w:type="dxa" w:w="160"/>
              <w:bottom w:type="dxa" w:w="80"/>
              <w:right w:type="dxa" w:w="140"/>
            </w:tcMar>
          </w:tcPr>
          <w:p>
            <w:pPr>
              <w:spacing w:after="120"/>
              <w:jc w:val="left"/>
            </w:pPr>
            <w:r>
              <w:rPr>
                <w:rFonts w:ascii="Arial" w:cs="Arial" w:eastAsia="Arial" w:hAnsi="Arial"/>
                <w:b/>
                <w:bCs/>
                <w:color w:val="185FA5"/>
                <w:sz w:val="18"/>
                <w:szCs w:val="18"/>
              </w:rPr>
              <w:t xml:space="preserve">Think of it this way:  </w:t>
            </w:r>
            <w:r>
              <w:rPr>
                <w:rFonts w:ascii="Arial" w:cs="Arial" w:eastAsia="Arial" w:hAnsi="Arial"/>
                <w:i/>
                <w:iCs/>
                <w:color w:val="333333"/>
                <w:sz w:val="18"/>
                <w:szCs w:val="18"/>
              </w:rPr>
              <w:t xml:space="preserve">A dispute arises six months after the order. The buyer claims NexaCrest agreed to different specifications in an early conversation. You remember the conversation. You even remember what you said. But you deleted the message thread because the order was complete. Now you have no evidence. The buyer has their version of events. You have your memory. Memory loses in a dispute.</w:t>
            </w:r>
          </w:p>
        </w:tc>
      </w:tr>
      <w:tr>
        <w:tc>
          <w:tcPr>
            <w:tcW w:type="dxa" w:w="600"/>
            <w:tcBorders>
              <w:top w:val="single" w:color="185FA5" w:sz="4" w:space="0"/>
              <w:left w:val="single" w:color="185FA5" w:sz="16" w:space="0"/>
              <w:bottom w:val="single" w:color="185FA5" w:sz="4" w:space="0"/>
              <w:right w:val="single" w:color="185FA5" w:sz="4" w:space="0"/>
            </w:tcBorders>
            <w:shd w:fill="185FA5" w:val="clear"/>
          </w:tcPr>
          <w:p>
            <w:pPr>
              <w:spacing w:after="20"/>
            </w:pPr>
          </w:p>
        </w:tc>
        <w:tc>
          <w:tcPr>
            <w:tcW w:type="dxa" w:w="9038"/>
            <w:tcBorders>
              <w:top w:val="single" w:color="185FA5" w:sz="4" w:space="0"/>
              <w:left w:val="single" w:color="185FA5" w:sz="4" w:space="0"/>
              <w:bottom w:val="single" w:color="185FA5" w:sz="4" w:space="0"/>
              <w:right w:val="single" w:color="185FA5" w:sz="16" w:space="0"/>
            </w:tcBorders>
            <w:shd w:fill="F8F8F8" w:val="clear"/>
            <w:tcMar>
              <w:top w:type="dxa" w:w="80"/>
              <w:left w:type="dxa" w:w="160"/>
              <w:bottom w:type="dxa" w:w="80"/>
              <w:right w:type="dxa" w:w="140"/>
            </w:tcMar>
          </w:tcPr>
          <w:p>
            <w:pPr>
              <w:spacing w:after="120"/>
              <w:jc w:val="left"/>
            </w:pPr>
            <w:r>
              <w:rPr>
                <w:rFonts w:ascii="Arial" w:cs="Arial" w:eastAsia="Arial" w:hAnsi="Arial"/>
                <w:b/>
                <w:bCs/>
                <w:color w:val="A32D2D"/>
                <w:sz w:val="18"/>
                <w:szCs w:val="18"/>
              </w:rPr>
              <w:t xml:space="preserve">🔴  WHAT TO DO:  </w:t>
            </w:r>
            <w:r>
              <w:rPr>
                <w:rFonts w:ascii="Arial" w:cs="Arial" w:eastAsia="Arial" w:hAnsi="Arial"/>
                <w:sz w:val="18"/>
                <w:szCs w:val="18"/>
              </w:rPr>
              <w:t xml:space="preserve">Save everything from the first contact. Every email. Every written message. Every document version including drafts. Every payment record. Name files clearly with dates. Store them in the order folder. Do not delete anything — even messages that seem irrelevant. You do not know which message will matter in a dispute six months from now.</w:t>
            </w:r>
          </w:p>
        </w:tc>
      </w:tr>
      <w:tr>
        <w:tc>
          <w:tcPr>
            <w:tcW w:type="dxa" w:w="600"/>
            <w:tcBorders>
              <w:top w:val="single" w:color="185FA5" w:sz="4" w:space="0"/>
              <w:left w:val="single" w:color="185FA5" w:sz="16" w:space="0"/>
              <w:bottom w:val="single" w:color="185FA5" w:sz="4" w:space="0"/>
              <w:right w:val="single" w:color="185FA5" w:sz="4" w:space="0"/>
            </w:tcBorders>
            <w:shd w:fill="185FA5" w:val="clear"/>
          </w:tcPr>
          <w:p>
            <w:pPr>
              <w:spacing w:after="20"/>
            </w:pPr>
          </w:p>
        </w:tc>
        <w:tc>
          <w:tcPr>
            <w:tcW w:type="dxa" w:w="9038"/>
            <w:tcBorders>
              <w:top w:val="single" w:color="185FA5" w:sz="4" w:space="0"/>
              <w:left w:val="single" w:color="185FA5" w:sz="4" w:space="0"/>
              <w:bottom w:val="single" w:color="185FA5" w:sz="4" w:space="0"/>
              <w:right w:val="single" w:color="185FA5" w:sz="16" w:space="0"/>
            </w:tcBorders>
            <w:shd w:fill="FBEAEA" w:val="clear"/>
            <w:tcMar>
              <w:top w:type="dxa" w:w="80"/>
              <w:left w:type="dxa" w:w="160"/>
              <w:bottom w:type="dxa" w:w="80"/>
              <w:right w:type="dxa" w:w="140"/>
            </w:tcMar>
          </w:tcPr>
          <w:p>
            <w:pPr>
              <w:spacing w:after="120"/>
              <w:jc w:val="left"/>
            </w:pPr>
            <w:r>
              <w:rPr>
                <w:rFonts w:ascii="Arial" w:cs="Arial" w:eastAsia="Arial" w:hAnsi="Arial"/>
                <w:b/>
                <w:bCs/>
                <w:color w:val="A32D2D"/>
                <w:sz w:val="18"/>
                <w:szCs w:val="18"/>
              </w:rPr>
              <w:t xml:space="preserve">❓  WHAT HAPPENS IF YOU SKIP THIS:  </w:t>
            </w:r>
            <w:r>
              <w:rPr>
                <w:rFonts w:ascii="Arial" w:cs="Arial" w:eastAsia="Arial" w:hAnsi="Arial"/>
                <w:color w:val="A32D2D"/>
                <w:sz w:val="18"/>
                <w:szCs w:val="18"/>
              </w:rPr>
              <w:t xml:space="preserve">In any commercial dispute the party with the better paper trail wins. Not the party who is right — the party who can prove they are right. A complete correspondence archive from day one means you can reconstruct the entire transaction history in minutes. An incomplete archive means gaps — and gaps create doubt.</w:t>
            </w:r>
          </w:p>
        </w:tc>
      </w:tr>
      <w:tr>
        <w:tc>
          <w:tcPr>
            <w:tcW w:type="dxa" w:w="600"/>
            <w:tcBorders>
              <w:top w:val="single" w:color="185FA5" w:sz="4" w:space="0"/>
              <w:left w:val="single" w:color="185FA5" w:sz="16" w:space="0"/>
              <w:bottom w:val="single" w:color="185FA5" w:sz="4" w:space="0"/>
              <w:right w:val="single" w:color="185FA5" w:sz="4" w:space="0"/>
            </w:tcBorders>
            <w:shd w:fill="185FA5" w:val="clear"/>
          </w:tcPr>
          <w:p>
            <w:pPr>
              <w:spacing w:after="20"/>
            </w:pPr>
          </w:p>
        </w:tc>
        <w:tc>
          <w:tcPr>
            <w:tcW w:type="dxa" w:w="9038"/>
            <w:tcBorders>
              <w:top w:val="single" w:color="185FA5" w:sz="4" w:space="0"/>
              <w:left w:val="single" w:color="185FA5" w:sz="4" w:space="0"/>
              <w:bottom w:val="single" w:color="185FA5" w:sz="4" w:space="0"/>
              <w:right w:val="single" w:color="185FA5" w:sz="16" w:space="0"/>
            </w:tcBorders>
            <w:shd w:fill="FFF3CD" w:val="clear"/>
            <w:tcMar>
              <w:top w:type="dxa" w:w="80"/>
              <w:left w:type="dxa" w:w="160"/>
              <w:bottom w:type="dxa" w:w="80"/>
              <w:right w:type="dxa" w:w="140"/>
            </w:tcMar>
          </w:tcPr>
          <w:p>
            <w:pPr>
              <w:spacing w:after="120"/>
              <w:jc w:val="left"/>
            </w:pPr>
            <w:r>
              <w:rPr>
                <w:rFonts w:ascii="Arial" w:cs="Arial" w:eastAsia="Arial" w:hAnsi="Arial"/>
                <w:b/>
                <w:bCs/>
                <w:color w:val="854F0B"/>
                <w:sz w:val="18"/>
                <w:szCs w:val="18"/>
              </w:rPr>
              <w:t xml:space="preserve">💡  THE SIMPLE FIX:  </w:t>
            </w:r>
            <w:r>
              <w:rPr>
                <w:rFonts w:ascii="Arial" w:cs="Arial" w:eastAsia="Arial" w:hAnsi="Arial"/>
                <w:color w:val="412402"/>
                <w:sz w:val="18"/>
                <w:szCs w:val="18"/>
              </w:rPr>
              <w:t xml:space="preserve">Name message screenshots with date and sender. Save every email to the order folder the day it arrives. At order completion — zip the entire order folder and archive it. Never delete.</w:t>
            </w:r>
          </w:p>
        </w:tc>
      </w:tr>
      <w:tr>
        <w:tc>
          <w:tcPr>
            <w:tcW w:type="dxa" w:w="600"/>
            <w:tcBorders>
              <w:top w:val="single" w:color="185FA5" w:sz="4" w:space="0"/>
              <w:left w:val="single" w:color="185FA5" w:sz="16" w:space="0"/>
              <w:bottom w:val="single" w:color="185FA5" w:sz="16" w:space="0"/>
              <w:right w:val="single" w:color="185FA5" w:sz="4" w:space="0"/>
            </w:tcBorders>
            <w:shd w:fill="185FA5" w:val="clear"/>
          </w:tcPr>
          <w:p>
            <w:pPr>
              <w:spacing w:after="20"/>
            </w:pPr>
          </w:p>
        </w:tc>
        <w:tc>
          <w:tcPr>
            <w:tcW w:type="dxa" w:w="9038"/>
            <w:tcBorders>
              <w:top w:val="single" w:color="185FA5" w:sz="4" w:space="0"/>
              <w:left w:val="single" w:color="185FA5" w:sz="4" w:space="0"/>
              <w:bottom w:val="single" w:color="185FA5" w:sz="16" w:space="0"/>
              <w:right w:val="single" w:color="185FA5" w:sz="16" w:space="0"/>
            </w:tcBorders>
            <w:shd w:fill="FBEAEA" w:val="clear"/>
            <w:tcMar>
              <w:top w:type="dxa" w:w="80"/>
              <w:left w:type="dxa" w:w="160"/>
              <w:bottom w:type="dxa" w:w="80"/>
              <w:right w:type="dxa" w:w="140"/>
            </w:tcMar>
          </w:tcPr>
          <w:p>
            <w:pPr>
              <w:spacing w:after="120"/>
              <w:jc w:val="left"/>
            </w:pPr>
            <w:r>
              <w:rPr>
                <w:rFonts w:ascii="Arial" w:cs="Arial" w:eastAsia="Arial" w:hAnsi="Arial"/>
                <w:b/>
                <w:bCs/>
                <w:color w:val="A32D2D"/>
                <w:sz w:val="19"/>
                <w:szCs w:val="19"/>
              </w:rPr>
              <w:t xml:space="preserve">⛔  SAVE EVERYTHING. FROM DAY ONE. NOTHING IS TOO SMALL TO SAVE.</w:t>
            </w:r>
          </w:p>
          <w:p>
            <w:pPr>
              <w:spacing w:after="0"/>
              <w:jc w:val="left"/>
            </w:pPr>
            <w:r>
              <w:rPr>
                <w:rFonts w:ascii="Arial" w:cs="Arial" w:eastAsia="Arial" w:hAnsi="Arial"/>
                <w:i/>
                <w:iCs/>
                <w:color w:val="666666"/>
                <w:sz w:val="16"/>
                <w:szCs w:val="16"/>
              </w:rPr>
              <w:t xml:space="preserve">📖  For full context on this step — see Format A for the quick version.</w:t>
            </w:r>
          </w:p>
        </w:tc>
      </w:tr>
    </w:tbl>
    <w:p>
      <w:pPr>
        <w:spacing w:after="100"/>
      </w:pPr>
    </w:p>
    <w:sectPr>
      <w:pgSz w:w="11906" w:h="16838"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2026-09-17T10:03:05.963Z</dcterms:created>
  <dcterms:modified xsi:type="dcterms:W3CDTF">2026-09-17T10:03:05.972Z</dcterms:modified>
</cp:coreProperties>
</file>

<file path=docProps/custom.xml><?xml version="1.0" encoding="utf-8"?>
<Properties xmlns="http://schemas.openxmlformats.org/officeDocument/2006/custom-properties" xmlns:vt="http://schemas.openxmlformats.org/officeDocument/2006/docPropsVTypes"/>
</file>