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40"/>
              <w:jc w:val="center"/>
            </w:pPr>
            <w:r>
              <w:rPr>
                <w:rFonts w:ascii="Arial" w:cs="Arial" w:eastAsia="Arial" w:hAnsi="Arial"/>
                <w:b/>
                <w:bCs/>
                <w:color w:val="FFFFFF"/>
                <w:sz w:val="22"/>
                <w:szCs w:val="22"/>
              </w:rPr>
              <w:t xml:space="preserve">NEXACREST INTERNATIONAL PRIVATE LIMITED</w:t>
            </w:r>
          </w:p>
          <w:p>
            <w:pPr>
              <w:spacing w:after="40"/>
              <w:jc w:val="center"/>
            </w:pPr>
            <w:r>
              <w:rPr>
                <w:rFonts w:ascii="Arial" w:cs="Arial" w:eastAsia="Arial" w:hAnsi="Arial"/>
                <w:b/>
                <w:bCs/>
                <w:color w:val="FFFFFF"/>
                <w:sz w:val="28"/>
                <w:szCs w:val="28"/>
              </w:rPr>
              <w:t xml:space="preserve">SOP 02 — ACCOUNTS &amp; FINANCE</w:t>
            </w:r>
          </w:p>
          <w:p>
            <w:pPr>
              <w:spacing w:after="40"/>
              <w:jc w:val="center"/>
            </w:pPr>
            <w:r>
              <w:rPr>
                <w:rFonts w:ascii="Arial" w:cs="Arial" w:eastAsia="Arial" w:hAnsi="Arial"/>
                <w:b/>
                <w:bCs/>
                <w:color w:val="AAAACC"/>
                <w:sz w:val="18"/>
                <w:szCs w:val="18"/>
              </w:rPr>
              <w:t xml:space="preserve">Payment Verification, FDN &amp; Balance Collection — Full Guide</w:t>
            </w:r>
          </w:p>
          <w:p>
            <w:pPr>
              <w:spacing w:after="0"/>
              <w:jc w:val="center"/>
            </w:pPr>
            <w:r>
              <w:rPr>
                <w:rFonts w:ascii="Arial" w:cs="Arial" w:eastAsia="Arial" w:hAnsi="Arial"/>
                <w:b/>
                <w:bCs/>
                <w:color w:val="EF9F27"/>
                <w:sz w:val="16"/>
                <w:szCs w:val="16"/>
              </w:rPr>
              <w:t xml:space="preserve">FORMAT B — FULL GUIDE WITH EXAMPLES &amp; CONSEQUENCES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12" w:space="0"/>
              <w:left w:val="single" w:color="854F0B" w:sz="12" w:space="0"/>
              <w:bottom w:val="single" w:color="854F0B" w:sz="12" w:space="0"/>
              <w:right w:val="single" w:color="854F0B" w:sz="12" w:space="0"/>
            </w:tcBorders>
            <w:shd w:fill="FFF3CD" w:val="clear"/>
            <w:tcMar>
              <w:top w:type="dxa" w:w="100"/>
              <w:left w:type="dxa" w:w="180"/>
              <w:bottom w:type="dxa" w:w="100"/>
              <w:right w:type="dxa" w:w="180"/>
            </w:tcMar>
          </w:tcPr>
          <w:p>
            <w:pPr>
              <w:spacing w:after="120"/>
              <w:jc w:val="left"/>
            </w:pPr>
            <w:r>
              <w:rPr>
                <w:rFonts w:ascii="Arial" w:cs="Arial" w:eastAsia="Arial" w:hAnsi="Arial"/>
                <w:b/>
                <w:bCs/>
                <w:color w:val="854F0B"/>
                <w:sz w:val="19"/>
                <w:szCs w:val="19"/>
              </w:rPr>
              <w:t xml:space="preserve">📖  HOW TO USE THIS DOCUMENT: </w:t>
            </w:r>
            <w:r>
              <w:rPr>
                <w:rFonts w:ascii="Arial" w:cs="Arial" w:eastAsia="Arial" w:hAnsi="Arial"/>
                <w:color w:val="412402"/>
                <w:sz w:val="18"/>
                <w:szCs w:val="18"/>
              </w:rPr>
              <w:t xml:space="preserve">This is Format B — the full explanation guide. Read this once during onboarding to understand WHY each step exists and what happens when it is skipped. For daily work use Format A (Quick Reference). When Format A says </w:t>
            </w:r>
            <w:r>
              <w:rPr>
                <w:rFonts w:ascii="Arial" w:cs="Arial" w:eastAsia="Arial" w:hAnsi="Arial"/>
                <w:b/>
                <w:bCs/>
                <w:color w:val="854F0B"/>
                <w:sz w:val="18"/>
                <w:szCs w:val="18"/>
              </w:rPr>
              <w:t xml:space="preserve">📖 See Format B, Step X</w:t>
            </w:r>
            <w:r>
              <w:rPr>
                <w:rFonts w:ascii="Arial" w:cs="Arial" w:eastAsia="Arial" w:hAnsi="Arial"/>
                <w:color w:val="412402"/>
                <w:sz w:val="18"/>
                <w:szCs w:val="18"/>
              </w:rPr>
              <w:t xml:space="preserve"> — that is your signal to open this document for deeper context on that specific step.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B6D11" w:sz="8" w:space="0"/>
              <w:left w:val="single" w:color="3B6D11" w:sz="8" w:space="0"/>
              <w:bottom w:val="single" w:color="3B6D11" w:sz="8" w:space="0"/>
              <w:right w:val="single" w:color="3B6D11" w:sz="8" w:space="0"/>
            </w:tcBorders>
            <w:shd w:fill="3B6D11"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WHY THIS SOP EXISTS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B6D11" w:sz="8" w:space="0"/>
              <w:left w:val="single" w:color="3B6D11" w:sz="8" w:space="0"/>
              <w:bottom w:val="single" w:color="3B6D11" w:sz="8" w:space="0"/>
              <w:right w:val="single" w:color="3B6D11" w:sz="8" w:space="0"/>
            </w:tcBorders>
            <w:shd w:fill="EAF3DE" w:val="clear"/>
            <w:tcMar>
              <w:top w:type="dxa" w:w="100"/>
              <w:left w:type="dxa" w:w="180"/>
              <w:bottom w:type="dxa" w:w="100"/>
              <w:right w:type="dxa" w:w="180"/>
            </w:tcMar>
          </w:tcPr>
          <w:p>
            <w:pPr>
              <w:spacing w:after="120"/>
              <w:jc w:val="left"/>
            </w:pPr>
            <w:r>
              <w:rPr>
                <w:rFonts w:ascii="Arial" w:cs="Arial" w:eastAsia="Arial" w:hAnsi="Arial"/>
                <w:sz w:val="18"/>
                <w:szCs w:val="18"/>
              </w:rPr>
              <w:t xml:space="preserve">Accounts is the gate-keeper of the entire order. Production does not start, cargo does not move, and BL originals do not leave NexaCrest's hands — until Accounts gives the green light. Every gate in this SOP exists because someone, somewhere, skipped it and paid the price.</w:t>
            </w:r>
          </w:p>
          <w:p>
            <w:pPr>
              <w:spacing w:after="60"/>
            </w:pPr>
          </w:p>
          <w:p>
            <w:pPr>
              <w:spacing w:after="120"/>
              <w:jc w:val="left"/>
            </w:pPr>
            <w:r>
              <w:rPr>
                <w:rFonts w:ascii="Arial" w:cs="Arial" w:eastAsia="Arial" w:hAnsi="Arial"/>
                <w:b/>
                <w:bCs/>
                <w:sz w:val="18"/>
                <w:szCs w:val="18"/>
              </w:rPr>
              <w:t xml:space="preserve">The consequences of skipping any payment verification step are not recoverable. Once production starts, costs are incurred. Once cargo ships, leverage is gone. Once BL originals are released, NexaCrest has nothing left to negotiate with.</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B6D11" w:sz="8" w:space="0"/>
              <w:left w:val="single" w:color="3B6D11" w:sz="8" w:space="0"/>
              <w:bottom w:val="single" w:color="3B6D11" w:sz="8" w:space="0"/>
              <w:right w:val="single" w:color="3B6D11" w:sz="8" w:space="0"/>
            </w:tcBorders>
            <w:shd w:fill="3B6D11"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STEP-BY-STEP PROCESS — WITH FULL EXPLANATION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1</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Verify 40% Advance — Cleared Not Remittance Copy</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A buyer sends a remittance copy on Friday afternoon. The sales team is excited — the order is moving. By Monday morning the payment has not arrived. SBI has flagged it for compliance review. The buyer used the wrong RBI Purpose Code. The payment is held. Production was supposed to start Monday. Now what? You call the buyer. They say they sent it. SBI says it is held. You are stuck between two parties — and production cannot start.</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When a remittance copy arrives — do not confirm anything to the sales team yet. Check the NexaCrest SBI account directly — NetBanking or bank statement. Confirm the exact amount is credited and cleared. Check the buyer quoted Purpose Code P0103. If P0103 is missing — contact SBI proactively with the PI reference before they raise a query. Only after cleared funds are confirmed — send written clearance confirmation to Sales.</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Confirming advance received from a remittance copy alone — and production starting — means NexaCrest begins incurring material and labour costs against an uncollected payment. If the payment is later rejected or returned, the advance is not in the account but production costs are already spent. This is an unrecoverable financial loss.</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Never confirm clearance from a remittance copy. Only from the bank account. Allow 1–2 banking days. If in doubt — wait.</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CLEARED IN BANK ACCOUNT. NOT REMITTANCE COPY. CLEARED MEANS CREDITED AND AVAILABLE.</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2</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Send Written Clearance to Sales — Same Day</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Accounts verbally tells the sales team 'the payment is in.' The sales team tells production to start. Two weeks later a dispute arises about when production commenced. The buyer claims production started before they paid. The sales team says Accounts confirmed it. Accounts does not remember the exact date of the verbal confirmation. Nobody has a written record of when clearance was given. Now the timeline of the order is in question.</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The moment clearance is confirmed — send a written email to the Sales Officer and MD: 'Advance of USD [XXXXX] against PI No. [XXXXX] cleared on [DD Month YYYY]. Production may commence.' Copy this email to the order folder. Record the cleared date in the Order Data Sheet Tab 1, Section 6.</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Without a written clearance record, the production start date becomes disputed territory. In any timeline dispute the question will be — when did Accounts confirm the advance was cleared? If the answer is 'we told them verbally' — that is a gap in the evidence chain. A gap that benefits the other party.</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One email. Thirty seconds. Permanent record. Send it the same day clearance is confirmed — not the next day, not when you remember.</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WRITTEN CLEARANCE EMAIL — SAME DAY. RECORD IN ORDER DATA SHEET.</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3</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Issue FDN — Confirmed Rate Only</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A buyer is on CFR terms. You issue the Freight Debit Note with an estimated freight rate because the shipping line has not confirmed the final rate yet. The buyer pays the FDN. The actual freight is higher than estimated. Now NexaCrest must absorb the difference or go back to the buyer for more money. The buyer refuses — they paid the FDN as invoiced. You are stuck with a shortfall.</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For CFR and CIF orders — obtain the confirmed freight rate from the shipping line or freight forwarder before issuing the FDN. Not estimated. Confirmed. Issue the FDN only after the confirmed rate is in hand. Payment deadline: 3 working days. Verify P0602 is the RBI Purpose Code shown. Sign, seal, send.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An FDN issued on estimated freight creates a financial exposure. If freight is higher — NexaCrest absorbs the loss or faces a dispute trying to recover the difference. If freight is lower — the buyer may request a refund of the excess. Either way the order becomes administratively complicated.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Call the shipping line or freight agent. Get the confirmed rate in writing — email is fine. Use that rate. Issue the FDN. No estimated rates on any commercial document.</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CONFIRMED FREIGHT RATE ONLY. NO ESTIMATES ON FDN.</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4</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Payment Dispute Protocol — If Buyer Pushes Back Mid-Order</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Production is complete. Cargo is packed. The buyer was supposed to pay the 60% balance before shipment. Instead they send an email saying the freight is too high and they want to renegotiate the total. You reply trying to be accommodating — 'let us see what we can do.' That reply — 'let us see what we can do' — is now evidence that NexaCrest was open to renegotiating. The buyer's lawyer uses it to argue NexaCrest agreed to vary the terms.</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If a buyer disputes payment terms, questions any amount, or refuses to pay — immediately: stop all production, packing and shipment activity. Inform MD same day. Do not reply to the buyer about substance without MD approval. Your first and only reply must be: cite the Payment Terms Finality clause — state the terms are fixed and binding as per the accepted PI. Nothing more. Nothing less. Preserve all evidence. Hand the complete order file to MD.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Every accommodating word in a dispute reply becomes ammunition for the other side. 'Let us see what we can do' means you are open to changing terms. 'We can discuss' means the terms are negotiable. 'We understand your concern' means you acknowledge the concern has merit. None of these should ever appear in a dispute reply without MD review.</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In a dispute — say less, not more. Cite the clause. State the position. Stop. Wait for MD direction.</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DISPUTE = STOP EVERYTHING + INFORM MD + CITE THE CLAUSE + NOTHING MORE.</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5</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Track 60% Balance — 7 Working Days from BL Date</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The scanned BL copy is sent to the buyer on a Monday. Tuesday passes. Wednesday passes. Thursday — still no payment. You assume the buyer is processing. Friday — end of day — still nothing. Day 7 is next Monday. You follow up Monday morning. The buyer says they sent it Friday. You wait. By Wednesday it is not in the account. The 7-day window has passed. The buyer is now technically in default. But you waited too long to follow up and now the situation feels informal.</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The moment the scanned BL copy is sent to the buyer — record the BL date in the Order Data Sheet. Set a follow-up reminder for Day 5. On Day 5 — send a polite written follow-up referencing the 7-day payment window and the CI number. On Day 7 — if payment not received — escalate to MD immediately. Do not wait for Day 8 hoping the payment arrives.</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buyer who receives no follow-up assumes the deadline is flexible. A buyer who receives a Day 5 reminder knows you are tracking the timeline. The follow-up is not aggressive — it is professional. It also creates a written record that NexaCrest reminded the buyer of the payment obligation on a specific date.</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Set the Day 5 reminder the same day you send the BL copy. Do not rely on memory. Calendar it.</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DAY 5 FOLLOW-UP WITHOUT FAIL. DAY 7 ESCALATE TO MD.</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6</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Verify 60% Balance — Cleared Before Endorsing BL</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The buyer sends a payment confirmation at 4pm. You tell Logistics to endorse the BL originals and courier them. The next morning the payment has not arrived in the account. SBI is processing it. The buyer has already told their customs agent that the BL originals are on the way. You call Logistics — the courier has already collected the package. The BL originals are in transit. If the payment is ultimately rejected — NexaCrest has lost the only leverage it had.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Do not instruct Logistics to endorse or release BL originals until Accounts confirms the 60% balance is CLEARED in the SBI account — not payment confirmed by buyer, not payment confirmation email, not a bank transfer screenshot. Cleared means the funds are in the account and available. Send Logistics a written email: 'Balance of USD [XXXXX] against CI No. [XXXXX] cleared on [DD Month YYYY]. BL originals may be endorsed and released.'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BL originals are the document of title. They control the cargo. Once released — NexaCrest has no leverage. If the payment is later reversed or rejected, there is no way to get the cargo back. The buyer has the goods and NexaCrest has nothing. This is the single most catastrophic mistake in export finance.</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No endorsement instruction without written clearance confirmation. No exceptions. Not even if the buyer is trusted. Not even if it is a small order. Every single time.</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CLEARED IN ACCOUNT BEFORE BL ENDORSEMENT. EVERY TIME. NO EXCEPTIONS.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7</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Post-Dispute Closure — Written Confirmation Always</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A dispute was resolved three months ago. The buyer verbally agreed to pay. They paid. You moved on. Six months later the same buyer raises the same issue again — claiming it was never properly resolved. You say it was resolved. They say it was not. You have no written record of the resolution. The dispute is reopened.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Once a dispute is resolved — send a written confirmation email to the buyer: 'This confirms that the dispute regarding [order reference] has been resolved as follows: [brief summary]. Both parties have fulfilled their obligations under the agreed terms. We consider the matter closed.' If the buyer made any public statement during the dispute — require written confirmation of its removal before sending this closure email. File the closure email in the order folder.</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verbal resolution is not a resolution. It is a pause. Without written closure, either party can reopen the matter at any time by claiming the resolution was different from what the other party remembers. Written closure creates a clean, unambiguous, dated record that the matter is settled.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Send the closure email the same day the dispute is resolved. Keep it factual and brief. File it immediately.</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WRITTEN CLOSURE EMAIL. FILED. MATTER CLOSED.</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2026-09-17T10:03:06.056Z</dcterms:created>
  <dcterms:modified xsi:type="dcterms:W3CDTF">2026-09-17T10:03:06.056Z</dcterms:modified>
</cp:coreProperties>
</file>

<file path=docProps/custom.xml><?xml version="1.0" encoding="utf-8"?>
<Properties xmlns="http://schemas.openxmlformats.org/officeDocument/2006/custom-properties" xmlns:vt="http://schemas.openxmlformats.org/officeDocument/2006/docPropsVTypes"/>
</file>