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40"/>
              <w:jc w:val="center"/>
            </w:pPr>
            <w:r>
              <w:rPr>
                <w:rFonts w:ascii="Arial" w:cs="Arial" w:eastAsia="Arial" w:hAnsi="Arial"/>
                <w:b/>
                <w:bCs/>
                <w:color w:val="FFFFFF"/>
                <w:sz w:val="22"/>
                <w:szCs w:val="22"/>
              </w:rPr>
              <w:t xml:space="preserve">NEXACREST INTERNATIONAL PRIVATE LIMITED</w:t>
            </w:r>
          </w:p>
          <w:p>
            <w:pPr>
              <w:spacing w:after="40"/>
              <w:jc w:val="center"/>
            </w:pPr>
            <w:r>
              <w:rPr>
                <w:rFonts w:ascii="Arial" w:cs="Arial" w:eastAsia="Arial" w:hAnsi="Arial"/>
                <w:b/>
                <w:bCs/>
                <w:color w:val="FFFFFF"/>
                <w:sz w:val="28"/>
                <w:szCs w:val="28"/>
              </w:rPr>
              <w:t xml:space="preserve">SOP 03 — PACKING &amp; DISPATCH</w:t>
            </w:r>
          </w:p>
          <w:p>
            <w:pPr>
              <w:spacing w:after="40"/>
              <w:jc w:val="center"/>
            </w:pPr>
            <w:r>
              <w:rPr>
                <w:rFonts w:ascii="Arial" w:cs="Arial" w:eastAsia="Arial" w:hAnsi="Arial"/>
                <w:b/>
                <w:bCs/>
                <w:color w:val="AAAACC"/>
                <w:sz w:val="18"/>
                <w:szCs w:val="18"/>
              </w:rPr>
              <w:t xml:space="preserve">From Production Complete to Cargo Ready — Full Guide</w:t>
            </w:r>
          </w:p>
          <w:p>
            <w:pPr>
              <w:spacing w:after="0"/>
              <w:jc w:val="center"/>
            </w:pPr>
            <w:r>
              <w:rPr>
                <w:rFonts w:ascii="Arial" w:cs="Arial" w:eastAsia="Arial" w:hAnsi="Arial"/>
                <w:b/>
                <w:bCs/>
                <w:color w:val="EF9F27"/>
                <w:sz w:val="16"/>
                <w:szCs w:val="16"/>
              </w:rPr>
              <w:t xml:space="preserve">FORMAT B — FULL GUIDE WITH EXAMPLES &amp; CONSEQUENCES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12" w:space="0"/>
              <w:left w:val="single" w:color="854F0B" w:sz="12" w:space="0"/>
              <w:bottom w:val="single" w:color="854F0B" w:sz="12" w:space="0"/>
              <w:right w:val="single" w:color="854F0B" w:sz="12" w:space="0"/>
            </w:tcBorders>
            <w:shd w:fill="FFF3CD" w:val="clear"/>
            <w:tcMar>
              <w:top w:type="dxa" w:w="100"/>
              <w:left w:type="dxa" w:w="180"/>
              <w:bottom w:type="dxa" w:w="100"/>
              <w:right w:type="dxa" w:w="180"/>
            </w:tcMar>
          </w:tcPr>
          <w:p>
            <w:pPr>
              <w:spacing w:after="120"/>
              <w:jc w:val="left"/>
            </w:pPr>
            <w:r>
              <w:rPr>
                <w:rFonts w:ascii="Arial" w:cs="Arial" w:eastAsia="Arial" w:hAnsi="Arial"/>
                <w:b/>
                <w:bCs/>
                <w:color w:val="854F0B"/>
                <w:sz w:val="19"/>
                <w:szCs w:val="19"/>
              </w:rPr>
              <w:t xml:space="preserve">📖  HOW TO USE THIS DOCUMENT: </w:t>
            </w:r>
            <w:r>
              <w:rPr>
                <w:rFonts w:ascii="Arial" w:cs="Arial" w:eastAsia="Arial" w:hAnsi="Arial"/>
                <w:color w:val="412402"/>
                <w:sz w:val="18"/>
                <w:szCs w:val="18"/>
              </w:rPr>
              <w:t xml:space="preserve">This is Format B — the full explanation guide. Read this once during onboarding to understand WHY each step exists and what happens when it is skipped. For daily work use Format A (Quick Reference). When Format A says </w:t>
            </w:r>
            <w:r>
              <w:rPr>
                <w:rFonts w:ascii="Arial" w:cs="Arial" w:eastAsia="Arial" w:hAnsi="Arial"/>
                <w:b/>
                <w:bCs/>
                <w:color w:val="854F0B"/>
                <w:sz w:val="18"/>
                <w:szCs w:val="18"/>
              </w:rPr>
              <w:t xml:space="preserve">📖 See Format B, Step X</w:t>
            </w:r>
            <w:r>
              <w:rPr>
                <w:rFonts w:ascii="Arial" w:cs="Arial" w:eastAsia="Arial" w:hAnsi="Arial"/>
                <w:color w:val="412402"/>
                <w:sz w:val="18"/>
                <w:szCs w:val="18"/>
              </w:rPr>
              <w:t xml:space="preserve"> — that is your signal to open this document for deeper context on that specific step.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8" w:space="0"/>
              <w:left w:val="single" w:color="854F0B" w:sz="8" w:space="0"/>
              <w:bottom w:val="single" w:color="854F0B" w:sz="8" w:space="0"/>
              <w:right w:val="single" w:color="854F0B" w:sz="8" w:space="0"/>
            </w:tcBorders>
            <w:shd w:fill="854F0B"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WHY THIS SOP EXISTS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8" w:space="0"/>
              <w:left w:val="single" w:color="854F0B" w:sz="8" w:space="0"/>
              <w:bottom w:val="single" w:color="854F0B" w:sz="8" w:space="0"/>
              <w:right w:val="single" w:color="854F0B" w:sz="8" w:space="0"/>
            </w:tcBorders>
            <w:shd w:fill="FFF3CD" w:val="clear"/>
            <w:tcMar>
              <w:top w:type="dxa" w:w="100"/>
              <w:left w:type="dxa" w:w="180"/>
              <w:bottom w:type="dxa" w:w="100"/>
              <w:right w:type="dxa" w:w="180"/>
            </w:tcMar>
          </w:tcPr>
          <w:p>
            <w:pPr>
              <w:spacing w:after="120"/>
              <w:jc w:val="left"/>
            </w:pPr>
            <w:r>
              <w:rPr>
                <w:rFonts w:ascii="Arial" w:cs="Arial" w:eastAsia="Arial" w:hAnsi="Arial"/>
                <w:sz w:val="18"/>
                <w:szCs w:val="18"/>
              </w:rPr>
              <w:t xml:space="preserve">By the time cargo reaches the packing stage, NexaCrest has already invested in material, production, and time. A packing error does not just cause inconvenience — it creates customs problems, delivery failures, and payment disputes at the exact moment when the buyer is about to pay the balance. Every step in this SOP protects that investment.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8" w:space="0"/>
              <w:left w:val="single" w:color="854F0B" w:sz="8" w:space="0"/>
              <w:bottom w:val="single" w:color="854F0B" w:sz="8" w:space="0"/>
              <w:right w:val="single" w:color="854F0B" w:sz="8" w:space="0"/>
            </w:tcBorders>
            <w:shd w:fill="854F0B"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STEP-BY-STEP PROCESS — WITH FULL EXPLANATION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854F0B" w:sz="16" w:space="0"/>
              <w:left w:val="single" w:color="854F0B" w:sz="16" w:space="0"/>
              <w:bottom w:val="single" w:color="854F0B" w:sz="4" w:space="0"/>
              <w:right w:val="single" w:color="854F0B" w:sz="4" w:space="0"/>
            </w:tcBorders>
            <w:shd w:fill="854F0B"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1</w:t>
            </w:r>
          </w:p>
        </w:tc>
        <w:tc>
          <w:tcPr>
            <w:tcW w:type="dxa" w:w="9038"/>
            <w:tcBorders>
              <w:top w:val="single" w:color="854F0B" w:sz="16" w:space="0"/>
              <w:left w:val="single" w:color="854F0B" w:sz="4" w:space="0"/>
              <w:bottom w:val="single" w:color="854F0B" w:sz="4" w:space="0"/>
              <w:right w:val="single" w:color="854F0B" w:sz="16" w:space="0"/>
            </w:tcBorders>
            <w:shd w:fill="FFF3CD"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Review PI Before Packing Starts</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Think of it this way:  </w:t>
            </w:r>
            <w:r>
              <w:rPr>
                <w:rFonts w:ascii="Arial" w:cs="Arial" w:eastAsia="Arial" w:hAnsi="Arial"/>
                <w:i/>
                <w:iCs/>
                <w:color w:val="333333"/>
                <w:sz w:val="18"/>
                <w:szCs w:val="18"/>
              </w:rPr>
              <w:t xml:space="preserve">Production is complete. The team is ready to pack. Everyone assumes the goods match the PI because they always have before. But this order had a specification change in the middle — the buyer asked for 3cm instead of 2cm in a message three weeks ago. The change was made verbally to the production team. The PI still says 2cm. The goods are now packed to the wrong specification against the wrong PI.</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Before a single piece is packed — obtain a printed copy of the PI for this order. Read every specification: product description, material, surface finish, dimensions including thickness, HS Code, quantity, unit. Physically compare each specification to the goods in front of you. If anything does not match — stop. Do not pack. Notify Sales immediately.</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Packing goods that do not match the PI creates an immediate mismatch between what the buyer paid for and what they receive. This is grounds for rejection of the cargo, a claim against NexaCrest, and refusal to pay the balance. The buyer is right to refuse — the goods are not what the PI described.</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Keep the PI physically present during the entire packing process. Check each specification as each crate is packed — not just at the start.</w:t>
            </w:r>
          </w:p>
        </w:tc>
      </w:tr>
      <w:tr>
        <w:tc>
          <w:tcPr>
            <w:tcW w:type="dxa" w:w="600"/>
            <w:tcBorders>
              <w:top w:val="single" w:color="854F0B" w:sz="4" w:space="0"/>
              <w:left w:val="single" w:color="854F0B" w:sz="16" w:space="0"/>
              <w:bottom w:val="single" w:color="854F0B" w:sz="16"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16"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PI IN HAND BEFORE PACKING STARTS. ANY MISMATCH — STOP AND NOTIFY SALES.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854F0B" w:sz="16" w:space="0"/>
              <w:left w:val="single" w:color="854F0B" w:sz="16" w:space="0"/>
              <w:bottom w:val="single" w:color="854F0B" w:sz="4" w:space="0"/>
              <w:right w:val="single" w:color="854F0B" w:sz="4" w:space="0"/>
            </w:tcBorders>
            <w:shd w:fill="854F0B"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2</w:t>
            </w:r>
          </w:p>
        </w:tc>
        <w:tc>
          <w:tcPr>
            <w:tcW w:type="dxa" w:w="9038"/>
            <w:tcBorders>
              <w:top w:val="single" w:color="854F0B" w:sz="16" w:space="0"/>
              <w:left w:val="single" w:color="854F0B" w:sz="4" w:space="0"/>
              <w:bottom w:val="single" w:color="854F0B" w:sz="4" w:space="0"/>
              <w:right w:val="single" w:color="854F0B" w:sz="16" w:space="0"/>
            </w:tcBorders>
            <w:shd w:fill="FFF3CD"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Arrange Fumigation — Before Crates Are Made</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Think of it this way:  </w:t>
            </w:r>
            <w:r>
              <w:rPr>
                <w:rFonts w:ascii="Arial" w:cs="Arial" w:eastAsia="Arial" w:hAnsi="Arial"/>
                <w:i/>
                <w:iCs/>
                <w:color w:val="333333"/>
                <w:sz w:val="18"/>
                <w:szCs w:val="18"/>
              </w:rPr>
              <w:t xml:space="preserve">The cargo is packed in wooden crates. The shipping is booked. The container is ready. Then the freight agent asks for the fumigation certificate. The fumigation company cannot come until next week. The container booking is missed. The buyer's expected delivery date is now missed. The buyer is angry. The next available vessel is two weeks later. The buyer threatens to cancel.</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Fumigation must be arranged before the wooden crates are constructed — or at minimum before sealing. The fumigation company treats the wooden packaging material. They issue the certificate after treatment. Book the fumigation company as soon as packing is confirmed. Do not leave it until shipping is imminent.</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Without a fumigation certificate the cargo cannot be exported under most international trade regulations. The destination country's customs will reject the shipment. The cargo comes back at NexaCrest's cost. The buyer gets nothing — and they paid a 40% advance for nothing.</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Book fumigation when packing is scheduled — not when shipping is booked. Build it into the packing timeline, not the shipping timeline.</w:t>
            </w:r>
          </w:p>
        </w:tc>
      </w:tr>
      <w:tr>
        <w:tc>
          <w:tcPr>
            <w:tcW w:type="dxa" w:w="600"/>
            <w:tcBorders>
              <w:top w:val="single" w:color="854F0B" w:sz="4" w:space="0"/>
              <w:left w:val="single" w:color="854F0B" w:sz="16" w:space="0"/>
              <w:bottom w:val="single" w:color="854F0B" w:sz="16"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16"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FUMIGATION BOOKED BEFORE CRATES ARE SEALED. CERTIFICATE IN HAND BEFORE CARGO MOVES.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854F0B" w:sz="16" w:space="0"/>
              <w:left w:val="single" w:color="854F0B" w:sz="16" w:space="0"/>
              <w:bottom w:val="single" w:color="854F0B" w:sz="4" w:space="0"/>
              <w:right w:val="single" w:color="854F0B" w:sz="4" w:space="0"/>
            </w:tcBorders>
            <w:shd w:fill="854F0B"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3</w:t>
            </w:r>
          </w:p>
        </w:tc>
        <w:tc>
          <w:tcPr>
            <w:tcW w:type="dxa" w:w="9038"/>
            <w:tcBorders>
              <w:top w:val="single" w:color="854F0B" w:sz="16" w:space="0"/>
              <w:left w:val="single" w:color="854F0B" w:sz="4" w:space="0"/>
              <w:bottom w:val="single" w:color="854F0B" w:sz="4" w:space="0"/>
              <w:right w:val="single" w:color="854F0B" w:sz="16" w:space="0"/>
            </w:tcBorders>
            <w:shd w:fill="FFF3CD"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Pack Against PI Quantity — Never Exceed, Notify if Short</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Think of it this way:  </w:t>
            </w:r>
            <w:r>
              <w:rPr>
                <w:rFonts w:ascii="Arial" w:cs="Arial" w:eastAsia="Arial" w:hAnsi="Arial"/>
                <w:i/>
                <w:iCs/>
                <w:color w:val="333333"/>
                <w:sz w:val="18"/>
                <w:szCs w:val="18"/>
              </w:rPr>
              <w:t xml:space="preserve">The production team packed 22 sets instead of the 20 on the PI. Two extra sets. The team thinks — the buyer gets more, everyone wins. But the Commercial Invoice, Packing List, and Shipping Bill are all raised for 20 sets. Customs finds 22 sets in the container. The quantity on the export documents does not match the physical cargo. Customs holds the container for inspection. The shipment is delayed. The buyer's delivery date is missed.</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Count every piece as it is packed. When the PI quantity is reached — stop. If production yielded more — set the excess aside. Never pack more than the PI quantity. If production yielded less: shortfall of 5% or under — note the actual quantity and notify Sales immediately so the buyer can be informed in writing before shipment. Shortfall over 5% — stop packing, notify Sales, wait for buyer's written approval before proceeding.</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Shipping more than the PI quantity is an export documentation violation. Shipping significantly less without buyer approval is a contractual breach. Either scenario creates a legal and commercial problem at exactly the wrong moment — when the cargo is at the port and the balance payment is due.</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Count twice before sealing each crate. Keep a running tally against the PI quantity. Stop at PI quantity — not when the crates are full.</w:t>
            </w:r>
          </w:p>
        </w:tc>
      </w:tr>
      <w:tr>
        <w:tc>
          <w:tcPr>
            <w:tcW w:type="dxa" w:w="600"/>
            <w:tcBorders>
              <w:top w:val="single" w:color="854F0B" w:sz="4" w:space="0"/>
              <w:left w:val="single" w:color="854F0B" w:sz="16" w:space="0"/>
              <w:bottom w:val="single" w:color="854F0B" w:sz="16"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16"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PI QUANTITY IS THE MAXIMUM. COUNT EVERY PIECE. STOP AT PI QUANTITY.</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854F0B" w:sz="16" w:space="0"/>
              <w:left w:val="single" w:color="854F0B" w:sz="16" w:space="0"/>
              <w:bottom w:val="single" w:color="854F0B" w:sz="4" w:space="0"/>
              <w:right w:val="single" w:color="854F0B" w:sz="4" w:space="0"/>
            </w:tcBorders>
            <w:shd w:fill="854F0B"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4</w:t>
            </w:r>
          </w:p>
        </w:tc>
        <w:tc>
          <w:tcPr>
            <w:tcW w:type="dxa" w:w="9038"/>
            <w:tcBorders>
              <w:top w:val="single" w:color="854F0B" w:sz="16" w:space="0"/>
              <w:left w:val="single" w:color="854F0B" w:sz="4" w:space="0"/>
              <w:bottom w:val="single" w:color="854F0B" w:sz="4" w:space="0"/>
              <w:right w:val="single" w:color="854F0B" w:sz="16" w:space="0"/>
            </w:tcBorders>
            <w:shd w:fill="FFF3CD"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Mark Every Crate — Exact Format, No Shortcuts</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Think of it this way:  </w:t>
            </w:r>
            <w:r>
              <w:rPr>
                <w:rFonts w:ascii="Arial" w:cs="Arial" w:eastAsia="Arial" w:hAnsi="Arial"/>
                <w:i/>
                <w:iCs/>
                <w:color w:val="333333"/>
                <w:sz w:val="18"/>
                <w:szCs w:val="18"/>
              </w:rPr>
              <w:t xml:space="preserve">A container arrives at the destination port with 10 crates. Eight crates are marked correctly. Two crates have the buyer's name abbreviated — 'KŐ BT' became 'Ko BT.' The customs agent cross-references the crate marks against the import licence. Two crates do not match. Those two crates are held for verification while the other eight are released. The buyer gets eight crates on time and two crates a week later. Their installation crew is on site. The delayed crates mean the monument set cannot be completed. The buyer claims damages.</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Stencil every crate in this exact format — Line 1: NEXACREST | Line 2: [buyer legal name — exact as PI] | Line 3: [port of discharge — exact as PI] | Line 4: C-001/010 [crate number/total crates] | Line 5: [PI number] | Line 6: MADE IN INDIA. Verify every mark before the crate is moved to the loading area.</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single character difference on a crate mark — an abbreviation, a missing accent, a shortened name — can cause customs to flag the crate as unmatched to the import documentation. In some jurisdictions this means the crate is held until the discrepancy is resolved. Resolution takes days. The buyer pays storage and demurrage. They bill NexaCrest.</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Prepare stencils from the Order Data Sheet — copy the buyer name and port directly. Do not write from memory. Check every crate mark before the crate leaves the packing area.</w:t>
            </w:r>
          </w:p>
        </w:tc>
      </w:tr>
      <w:tr>
        <w:tc>
          <w:tcPr>
            <w:tcW w:type="dxa" w:w="600"/>
            <w:tcBorders>
              <w:top w:val="single" w:color="854F0B" w:sz="4" w:space="0"/>
              <w:left w:val="single" w:color="854F0B" w:sz="16" w:space="0"/>
              <w:bottom w:val="single" w:color="854F0B" w:sz="16"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16"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COPY FROM ORDER DATA SHEET. EVERY CHARACTER. CHECK EVERY CRATE BEFORE IT MOVES.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854F0B" w:sz="16" w:space="0"/>
              <w:left w:val="single" w:color="854F0B" w:sz="16" w:space="0"/>
              <w:bottom w:val="single" w:color="854F0B" w:sz="4" w:space="0"/>
              <w:right w:val="single" w:color="854F0B" w:sz="4" w:space="0"/>
            </w:tcBorders>
            <w:shd w:fill="854F0B"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5</w:t>
            </w:r>
          </w:p>
        </w:tc>
        <w:tc>
          <w:tcPr>
            <w:tcW w:type="dxa" w:w="9038"/>
            <w:tcBorders>
              <w:top w:val="single" w:color="854F0B" w:sz="16" w:space="0"/>
              <w:left w:val="single" w:color="854F0B" w:sz="4" w:space="0"/>
              <w:bottom w:val="single" w:color="854F0B" w:sz="4" w:space="0"/>
              <w:right w:val="single" w:color="854F0B" w:sz="16" w:space="0"/>
            </w:tcBorders>
            <w:shd w:fill="FFF3CD"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Record Weights and CBM — Weigh Every Crate</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Think of it this way:  </w:t>
            </w:r>
            <w:r>
              <w:rPr>
                <w:rFonts w:ascii="Arial" w:cs="Arial" w:eastAsia="Arial" w:hAnsi="Arial"/>
                <w:i/>
                <w:iCs/>
                <w:color w:val="333333"/>
                <w:sz w:val="18"/>
                <w:szCs w:val="18"/>
              </w:rPr>
              <w:t xml:space="preserve">The packing team estimates the total weight based on previous orders of similar size. They do not weigh individual crates. The PL and BL show estimated weights. At the port the container is weighed under VGM (Verified Gross Mass) regulations. The actual weight is significantly different from the estimated weight on the BL. The shipping line flags a discrepancy. The container cannot be loaded until the BL is amended. The amendment takes a day. The vessel sails without the container. The next vessel is 10 days later.</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Weigh every crate — net weight (stone only) and gross weight (including packing material). Measure every crate — length, width, height in cm. Calculate CBM for each crate: L × W × H ÷ 1,000,000. Total all figures. Record in the packing register. Hand the packing register to the Documentation Officer for the Packing List and BL.</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Estimated weights and CBM on official export documents create a compliance risk at the port. VGM regulations require verified container weights. A mismatch between declared and actual weight can cause vessel booking cancellation — a delay that costs demurrage, rebooking fees, and the buyer's time.</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Weigh every crate with a calibrated scale. Measure every crate with a tape measure. Do not estimate. Do not use previous order figures.</w:t>
            </w:r>
          </w:p>
        </w:tc>
      </w:tr>
      <w:tr>
        <w:tc>
          <w:tcPr>
            <w:tcW w:type="dxa" w:w="600"/>
            <w:tcBorders>
              <w:top w:val="single" w:color="854F0B" w:sz="4" w:space="0"/>
              <w:left w:val="single" w:color="854F0B" w:sz="16" w:space="0"/>
              <w:bottom w:val="single" w:color="854F0B" w:sz="16"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16"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WEIGH EVERY CRATE. MEASURE EVERY CRATE. NO ESTIMATES ON ANY DOCUMENT.</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2026-09-17T10:03:06.083Z</dcterms:created>
  <dcterms:modified xsi:type="dcterms:W3CDTF">2026-09-17T10:03:06.083Z</dcterms:modified>
</cp:coreProperties>
</file>

<file path=docProps/custom.xml><?xml version="1.0" encoding="utf-8"?>
<Properties xmlns="http://schemas.openxmlformats.org/officeDocument/2006/custom-properties" xmlns:vt="http://schemas.openxmlformats.org/officeDocument/2006/docPropsVTypes"/>
</file>