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7233A" w:sz="24" w:space="0"/>
              <w:left w:val="single" w:color="17233A" w:sz="24" w:space="0"/>
              <w:bottom w:val="single" w:color="17233A" w:sz="24" w:space="0"/>
              <w:right w:val="single" w:color="17233A" w:sz="24" w:space="0"/>
            </w:tcBorders>
            <w:shd w:fill="17233A" w:val="clear"/>
            <w:tcMar>
              <w:top w:type="dxa" w:w="160"/>
              <w:left w:type="dxa" w:w="240"/>
              <w:bottom w:type="dxa" w:w="140"/>
              <w:right w:type="dxa" w:w="240"/>
            </w:tcMar>
          </w:tcPr>
          <w:p>
            <w:pPr>
              <w:spacing w:after="40"/>
              <w:jc w:val="center"/>
            </w:pPr>
            <w:r>
              <w:rPr>
                <w:rFonts w:ascii="Arial" w:cs="Arial" w:eastAsia="Arial" w:hAnsi="Arial"/>
                <w:b/>
                <w:bCs/>
                <w:color w:val="FFFFFF"/>
                <w:sz w:val="22"/>
                <w:szCs w:val="22"/>
              </w:rPr>
              <w:t xml:space="preserve">NEXACREST INTERNATIONAL PRIVATE LIMITED</w:t>
            </w:r>
          </w:p>
          <w:p>
            <w:pPr>
              <w:spacing w:after="40"/>
              <w:jc w:val="center"/>
            </w:pPr>
            <w:r>
              <w:rPr>
                <w:rFonts w:ascii="Arial" w:cs="Arial" w:eastAsia="Arial" w:hAnsi="Arial"/>
                <w:b/>
                <w:bCs/>
                <w:color w:val="FFFFFF"/>
                <w:sz w:val="28"/>
                <w:szCs w:val="28"/>
              </w:rPr>
              <w:t xml:space="preserve">SOP 04 — SHIPPING &amp; LOGISTICS</w:t>
            </w:r>
          </w:p>
          <w:p>
            <w:pPr>
              <w:spacing w:after="40"/>
              <w:jc w:val="center"/>
            </w:pPr>
            <w:r>
              <w:rPr>
                <w:rFonts w:ascii="Arial" w:cs="Arial" w:eastAsia="Arial" w:hAnsi="Arial"/>
                <w:b/>
                <w:bCs/>
                <w:color w:val="AAAACC"/>
                <w:sz w:val="18"/>
                <w:szCs w:val="18"/>
              </w:rPr>
              <w:t xml:space="preserve">From Packing Complete to Document Despatch — Full Guide</w:t>
            </w:r>
          </w:p>
          <w:p>
            <w:pPr>
              <w:spacing w:after="0"/>
              <w:jc w:val="center"/>
            </w:pPr>
            <w:r>
              <w:rPr>
                <w:rFonts w:ascii="Arial" w:cs="Arial" w:eastAsia="Arial" w:hAnsi="Arial"/>
                <w:b/>
                <w:bCs/>
                <w:color w:val="EF9F27"/>
                <w:sz w:val="16"/>
                <w:szCs w:val="16"/>
              </w:rPr>
              <w:t xml:space="preserve">FORMAT B — FULL GUIDE WITH EXAMPLES &amp; CONSEQUENCES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54F0B" w:sz="12" w:space="0"/>
              <w:left w:val="single" w:color="854F0B" w:sz="12" w:space="0"/>
              <w:bottom w:val="single" w:color="854F0B" w:sz="12" w:space="0"/>
              <w:right w:val="single" w:color="854F0B" w:sz="12" w:space="0"/>
            </w:tcBorders>
            <w:shd w:fill="FFF3CD" w:val="clear"/>
            <w:tcMar>
              <w:top w:type="dxa" w:w="100"/>
              <w:left w:type="dxa" w:w="180"/>
              <w:bottom w:type="dxa" w:w="100"/>
              <w:right w:type="dxa" w:w="180"/>
            </w:tcMar>
          </w:tcPr>
          <w:p>
            <w:pPr>
              <w:spacing w:after="120"/>
              <w:jc w:val="left"/>
            </w:pPr>
            <w:r>
              <w:rPr>
                <w:rFonts w:ascii="Arial" w:cs="Arial" w:eastAsia="Arial" w:hAnsi="Arial"/>
                <w:b/>
                <w:bCs/>
                <w:color w:val="854F0B"/>
                <w:sz w:val="19"/>
                <w:szCs w:val="19"/>
              </w:rPr>
              <w:t xml:space="preserve">📖  HOW TO USE THIS DOCUMENT: </w:t>
            </w:r>
            <w:r>
              <w:rPr>
                <w:rFonts w:ascii="Arial" w:cs="Arial" w:eastAsia="Arial" w:hAnsi="Arial"/>
                <w:color w:val="412402"/>
                <w:sz w:val="18"/>
                <w:szCs w:val="18"/>
              </w:rPr>
              <w:t xml:space="preserve">This is Format B — the full explanation guide. Read this once during onboarding to understand WHY each step exists and what happens when it is skipped. For daily work use Format A (Quick Reference). When Format A says </w:t>
            </w:r>
            <w:r>
              <w:rPr>
                <w:rFonts w:ascii="Arial" w:cs="Arial" w:eastAsia="Arial" w:hAnsi="Arial"/>
                <w:b/>
                <w:bCs/>
                <w:color w:val="854F0B"/>
                <w:sz w:val="18"/>
                <w:szCs w:val="18"/>
              </w:rPr>
              <w:t xml:space="preserve">📖 See Format B, Step X</w:t>
            </w:r>
            <w:r>
              <w:rPr>
                <w:rFonts w:ascii="Arial" w:cs="Arial" w:eastAsia="Arial" w:hAnsi="Arial"/>
                <w:color w:val="412402"/>
                <w:sz w:val="18"/>
                <w:szCs w:val="18"/>
              </w:rPr>
              <w:t xml:space="preserve"> — that is your signal to open this document for deeper context on that specific step.</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34AB7" w:sz="8" w:space="0"/>
              <w:left w:val="single" w:color="534AB7" w:sz="8" w:space="0"/>
              <w:bottom w:val="single" w:color="534AB7" w:sz="8" w:space="0"/>
              <w:right w:val="single" w:color="534AB7" w:sz="8" w:space="0"/>
            </w:tcBorders>
            <w:shd w:fill="534AB7" w:val="clear"/>
            <w:tcMar>
              <w:top w:type="dxa" w:w="80"/>
              <w:left w:type="dxa" w:w="160"/>
              <w:bottom w:type="dxa" w:w="80"/>
              <w:right w:type="dxa" w:w="160"/>
            </w:tcMar>
          </w:tcPr>
          <w:p>
            <w:pPr>
              <w:spacing w:after="120"/>
              <w:jc w:val="left"/>
            </w:pPr>
            <w:r>
              <w:rPr>
                <w:rFonts w:ascii="Arial" w:cs="Arial" w:eastAsia="Arial" w:hAnsi="Arial"/>
                <w:b/>
                <w:bCs/>
                <w:color w:val="FFFFFF"/>
                <w:sz w:val="19"/>
                <w:szCs w:val="19"/>
              </w:rPr>
              <w:t xml:space="preserve">WHY THIS SOP EXISTS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34AB7" w:sz="8" w:space="0"/>
              <w:left w:val="single" w:color="534AB7" w:sz="8" w:space="0"/>
              <w:bottom w:val="single" w:color="534AB7" w:sz="8" w:space="0"/>
              <w:right w:val="single" w:color="534AB7" w:sz="8" w:space="0"/>
            </w:tcBorders>
            <w:shd w:fill="EEEDFE" w:val="clear"/>
            <w:tcMar>
              <w:top w:type="dxa" w:w="100"/>
              <w:left w:type="dxa" w:w="180"/>
              <w:bottom w:type="dxa" w:w="100"/>
              <w:right w:type="dxa" w:w="180"/>
            </w:tcMar>
          </w:tcPr>
          <w:p>
            <w:pPr>
              <w:spacing w:after="120"/>
              <w:jc w:val="left"/>
            </w:pPr>
            <w:r>
              <w:rPr>
                <w:rFonts w:ascii="Arial" w:cs="Arial" w:eastAsia="Arial" w:hAnsi="Arial"/>
                <w:sz w:val="18"/>
                <w:szCs w:val="18"/>
              </w:rPr>
              <w:t xml:space="preserve">Shipping is where everything comes together — and where the most expensive mistakes happen. The BL is the document of title. It controls the cargo. The choices made in this SOP determine whether NexaCrest gets paid or not. There is no recovery from a BL error once the vessel has sailed.</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34AB7" w:sz="8" w:space="0"/>
              <w:left w:val="single" w:color="534AB7" w:sz="8" w:space="0"/>
              <w:bottom w:val="single" w:color="534AB7" w:sz="8" w:space="0"/>
              <w:right w:val="single" w:color="534AB7" w:sz="8" w:space="0"/>
            </w:tcBorders>
            <w:shd w:fill="534AB7" w:val="clear"/>
            <w:tcMar>
              <w:top w:type="dxa" w:w="80"/>
              <w:left w:type="dxa" w:w="160"/>
              <w:bottom w:type="dxa" w:w="80"/>
              <w:right w:type="dxa" w:w="160"/>
            </w:tcMar>
          </w:tcPr>
          <w:p>
            <w:pPr>
              <w:spacing w:after="120"/>
              <w:jc w:val="left"/>
            </w:pPr>
            <w:r>
              <w:rPr>
                <w:rFonts w:ascii="Arial" w:cs="Arial" w:eastAsia="Arial" w:hAnsi="Arial"/>
                <w:b/>
                <w:bCs/>
                <w:color w:val="FFFFFF"/>
                <w:sz w:val="19"/>
                <w:szCs w:val="19"/>
              </w:rPr>
              <w:t xml:space="preserve">STEP-BY-STEP PROCESS — WITH FULL EXPLANATION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534AB7" w:sz="16" w:space="0"/>
              <w:left w:val="single" w:color="534AB7" w:sz="16" w:space="0"/>
              <w:bottom w:val="single" w:color="534AB7" w:sz="4" w:space="0"/>
              <w:right w:val="single" w:color="534AB7" w:sz="4" w:space="0"/>
            </w:tcBorders>
            <w:shd w:fill="534AB7"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1</w:t>
            </w:r>
          </w:p>
        </w:tc>
        <w:tc>
          <w:tcPr>
            <w:tcW w:type="dxa" w:w="9038"/>
            <w:tcBorders>
              <w:top w:val="single" w:color="534AB7" w:sz="16" w:space="0"/>
              <w:left w:val="single" w:color="534AB7" w:sz="4" w:space="0"/>
              <w:bottom w:val="single" w:color="534AB7" w:sz="4" w:space="0"/>
              <w:right w:val="single" w:color="534AB7" w:sz="16" w:space="0"/>
            </w:tcBorders>
            <w:shd w:fill="EEEDFE"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Complete Packing List — Exact Match to Physical Cargo</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534AB7"/>
                <w:sz w:val="18"/>
                <w:szCs w:val="18"/>
              </w:rPr>
              <w:t xml:space="preserve">Think of it this way:  </w:t>
            </w:r>
            <w:r>
              <w:rPr>
                <w:rFonts w:ascii="Arial" w:cs="Arial" w:eastAsia="Arial" w:hAnsi="Arial"/>
                <w:i/>
                <w:iCs/>
                <w:color w:val="333333"/>
                <w:sz w:val="18"/>
                <w:szCs w:val="18"/>
              </w:rPr>
              <w:t xml:space="preserve">The Packing List says 10 crates. The BL says 10 crates. The container arrives at the destination port. Customs opens the container for inspection and counts 9 crates. One crate was damaged at the warehouse and set aside before loading — but the PL was never updated. Now the PL, BL, and physical cargo do not match. Customs holds the container. The buyer cannot clear the goods. NexaCrest is asked to explain the discrepancy.</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Receive the packing register from the Packing Supervisor. Open the Packing List template. Fill all fields from the packing register and Order Data Sheet — do not retype, copy. Verify buyer name matches PI exactly. Verify actual quantity packed matches PL. Verify crate count is accurate. Verify HS Code is 6802.93. Sign and seal only after physical count is confirmed.</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A mismatch between the Packing List and the physical cargo creates a customs discrepancy at the destination. The buyer cannot clear the goods until the discrepancy is explained and resolved. Explanation requires an amended document from the shipping line — which takes time and costs money. Meanwhile the buyer pays storage and demurrage. They bill NexaCrest.</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The packing register from the Packing Supervisor is the source of truth. Copy from it. Do not recalculate or re-estimate.</w:t>
            </w:r>
          </w:p>
        </w:tc>
      </w:tr>
      <w:tr>
        <w:tc>
          <w:tcPr>
            <w:tcW w:type="dxa" w:w="600"/>
            <w:tcBorders>
              <w:top w:val="single" w:color="534AB7" w:sz="4" w:space="0"/>
              <w:left w:val="single" w:color="534AB7" w:sz="16" w:space="0"/>
              <w:bottom w:val="single" w:color="534AB7" w:sz="16"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16" w:space="0"/>
              <w:right w:val="single" w:color="534AB7"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PACKING LIST MATCHES PHYSICAL CARGO EXACTLY. NO ESTIMATES. NO ASSUMPTIONS.</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534AB7" w:sz="16" w:space="0"/>
              <w:left w:val="single" w:color="534AB7" w:sz="16" w:space="0"/>
              <w:bottom w:val="single" w:color="534AB7" w:sz="4" w:space="0"/>
              <w:right w:val="single" w:color="534AB7" w:sz="4" w:space="0"/>
            </w:tcBorders>
            <w:shd w:fill="534AB7"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2</w:t>
            </w:r>
          </w:p>
        </w:tc>
        <w:tc>
          <w:tcPr>
            <w:tcW w:type="dxa" w:w="9038"/>
            <w:tcBorders>
              <w:top w:val="single" w:color="534AB7" w:sz="16" w:space="0"/>
              <w:left w:val="single" w:color="534AB7" w:sz="4" w:space="0"/>
              <w:bottom w:val="single" w:color="534AB7" w:sz="4" w:space="0"/>
              <w:right w:val="single" w:color="534AB7" w:sz="16" w:space="0"/>
            </w:tcBorders>
            <w:shd w:fill="EEEDFE"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BL Instruction — Three Non-Negotiable Fields</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534AB7"/>
                <w:sz w:val="18"/>
                <w:szCs w:val="18"/>
              </w:rPr>
              <w:t xml:space="preserve">Think of it this way:  </w:t>
            </w:r>
            <w:r>
              <w:rPr>
                <w:rFonts w:ascii="Arial" w:cs="Arial" w:eastAsia="Arial" w:hAnsi="Arial"/>
                <w:i/>
                <w:iCs/>
                <w:color w:val="333333"/>
                <w:sz w:val="18"/>
                <w:szCs w:val="18"/>
              </w:rPr>
              <w:t xml:space="preserve">The CHA issues the BL. It reads 'Consignee: [Buyer Name]' instead of 'Consignee: TO ORDER OF NEXACREST INTERNATIONAL PRIVATE LIMITED.' The cargo arrives at the destination port. The buyer presents their copy of the BL to the port authority. The port releases the cargo directly to the buyer — because the BL names them as consignee. The buyer has the goods. They have not paid the 60% balance. NexaCrest has no leverage. The BL was the only protection — and it was issued incorrectly.</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The BL Instruction Sheet must specify three things without any variation: BL Type = Original Negotiable Bill of Lading — 3 originals. NEVER Sea Waybill or Express BL. Consignee = TO ORDER OF NEXACREST INTERNATIONAL PRIVATE LIMITED. Freight Terms = Freight Collect for FOB, Freight Prepaid for CFR/CIF. Send the BL Instruction to CHA before booking is confirmed.</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A Sea Waybill or Express BL allows the buyer to collect cargo without presenting a physical original document. NexaCrest loses all leverage to collect the 60% balance — the cargo is released regardless of payment status. A named consignee BL has the same effect. These are not technicalities. They are the difference between getting paid and not getting paid.</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Read the BL type field every time you fill the BL Instruction. If it says anything other than Original Negotiable — it is wrong. Correct it before sending.</w:t>
            </w:r>
          </w:p>
        </w:tc>
      </w:tr>
      <w:tr>
        <w:tc>
          <w:tcPr>
            <w:tcW w:type="dxa" w:w="600"/>
            <w:tcBorders>
              <w:top w:val="single" w:color="534AB7" w:sz="4" w:space="0"/>
              <w:left w:val="single" w:color="534AB7" w:sz="16" w:space="0"/>
              <w:bottom w:val="single" w:color="534AB7" w:sz="16"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16" w:space="0"/>
              <w:right w:val="single" w:color="534AB7"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ORIGINAL NEGOTIABLE BL. TO ORDER OF NEXACREST. NON-NEGOTIABLE. EVERY ORDER.</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534AB7" w:sz="16" w:space="0"/>
              <w:left w:val="single" w:color="534AB7" w:sz="16" w:space="0"/>
              <w:bottom w:val="single" w:color="534AB7" w:sz="4" w:space="0"/>
              <w:right w:val="single" w:color="534AB7" w:sz="4" w:space="0"/>
            </w:tcBorders>
            <w:shd w:fill="534AB7"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3</w:t>
            </w:r>
          </w:p>
        </w:tc>
        <w:tc>
          <w:tcPr>
            <w:tcW w:type="dxa" w:w="9038"/>
            <w:tcBorders>
              <w:top w:val="single" w:color="534AB7" w:sz="16" w:space="0"/>
              <w:left w:val="single" w:color="534AB7" w:sz="4" w:space="0"/>
              <w:bottom w:val="single" w:color="534AB7" w:sz="4" w:space="0"/>
              <w:right w:val="single" w:color="534AB7" w:sz="16" w:space="0"/>
            </w:tcBorders>
            <w:shd w:fill="EEEDFE"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Review Draft BL — Every Field Before Approving</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534AB7"/>
                <w:sz w:val="18"/>
                <w:szCs w:val="18"/>
              </w:rPr>
              <w:t xml:space="preserve">Think of it this way:  </w:t>
            </w:r>
            <w:r>
              <w:rPr>
                <w:rFonts w:ascii="Arial" w:cs="Arial" w:eastAsia="Arial" w:hAnsi="Arial"/>
                <w:i/>
                <w:iCs/>
                <w:color w:val="333333"/>
                <w:sz w:val="18"/>
                <w:szCs w:val="18"/>
              </w:rPr>
              <w:t xml:space="preserve">The CHA sends a draft BL. You review it quickly — the port names look right, the vessel name is correct, the consignee wording is right. You approve by email. The BL originals are issued. Then the buyer's customs agent points out that the container number on the BL is wrong — a digit transposition. The BL says MSCU1234567 but the actual container is MSCU1234576. The goods cannot be matched to the container at the port. An amended BL is required. The shipping line takes 3 days to issue a correction. The vessel has already sailed.</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When the draft BL arrives from CHA — check every single field: shipper name and address, consignee wording (TO ORDER OF NEXACREST exactly), notify party, port of loading (Chennai India), port of discharge (exact name matching PI), vessel name and voyage number, container number (every digit), seal number, crate count, gross weight, BL type (Original Negotiable), freight terms. Reply to CHA in writing: 'Draft BL approved — please issue originals.' Keep this email. It is your evidence that you checked the BL before originals were issued.</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An error on an original BL is one of the most expensive problems in export shipping. The shipping line may issue a Letter of Indemnity process which takes days and costs fees. Meanwhile the cargo sits at the port. The buyer pays demurrage. The delivery date is missed. All of this from one unreviewed digit.</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Print the draft BL. Tick every field physically against the Order Data Sheet. Only approve after every field is verified. Verbal approvals do not exist — written email only.</w:t>
            </w:r>
          </w:p>
        </w:tc>
      </w:tr>
      <w:tr>
        <w:tc>
          <w:tcPr>
            <w:tcW w:type="dxa" w:w="600"/>
            <w:tcBorders>
              <w:top w:val="single" w:color="534AB7" w:sz="4" w:space="0"/>
              <w:left w:val="single" w:color="534AB7" w:sz="16" w:space="0"/>
              <w:bottom w:val="single" w:color="534AB7" w:sz="16"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16" w:space="0"/>
              <w:right w:val="single" w:color="534AB7"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EVERY FIELD CHECKED. WRITTEN APPROVAL ONLY. NO VERBAL APPROVALS.</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534AB7" w:sz="16" w:space="0"/>
              <w:left w:val="single" w:color="534AB7" w:sz="16" w:space="0"/>
              <w:bottom w:val="single" w:color="534AB7" w:sz="4" w:space="0"/>
              <w:right w:val="single" w:color="534AB7" w:sz="4" w:space="0"/>
            </w:tcBorders>
            <w:shd w:fill="534AB7"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4</w:t>
            </w:r>
          </w:p>
        </w:tc>
        <w:tc>
          <w:tcPr>
            <w:tcW w:type="dxa" w:w="9038"/>
            <w:tcBorders>
              <w:top w:val="single" w:color="534AB7" w:sz="16" w:space="0"/>
              <w:left w:val="single" w:color="534AB7" w:sz="4" w:space="0"/>
              <w:bottom w:val="single" w:color="534AB7" w:sz="4" w:space="0"/>
              <w:right w:val="single" w:color="534AB7" w:sz="16" w:space="0"/>
            </w:tcBorders>
            <w:shd w:fill="EEEDFE"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Collect 3 Original BLs — Count Before Leaving CHA</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534AB7"/>
                <w:sz w:val="18"/>
                <w:szCs w:val="18"/>
              </w:rPr>
              <w:t xml:space="preserve">Think of it this way:  </w:t>
            </w:r>
            <w:r>
              <w:rPr>
                <w:rFonts w:ascii="Arial" w:cs="Arial" w:eastAsia="Arial" w:hAnsi="Arial"/>
                <w:i/>
                <w:iCs/>
                <w:color w:val="333333"/>
                <w:sz w:val="18"/>
                <w:szCs w:val="18"/>
              </w:rPr>
              <w:t xml:space="preserve">The CHA hands over an envelope. You collect it and leave. Back at the office you open the envelope — there are 2 originals instead of 3. You call the CHA. They say they issued 3. You say you only received 2. Nobody knows what happened to the third original. A missing original BL is a liability — someone has it, somewhere. Until all 3 are accounted for, the cargo is at risk.</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When collecting BL originals from CHA — count them in front of the CHA representative before leaving the office. Confirm 3 originals. Confirm each is stamped Original Negotiable. Sign the CHA's receipt only after you have physically counted and verified 3 originals. Store all 3 originals securely at NexaCrest until the 60% balance is cleared.</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A missing BL original creates a title dispute. Three originals are issued for a reason — any one of them can be used to claim the cargo. If a third original is unaccounted for and ends up with the wrong party, they could theoretically present it to the port and claim the cargo — even without paying.</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Count the originals in front of the CHA. Do not leave without 3. Do not sign the CHA receipt until you have counted.</w:t>
            </w:r>
          </w:p>
        </w:tc>
      </w:tr>
      <w:tr>
        <w:tc>
          <w:tcPr>
            <w:tcW w:type="dxa" w:w="600"/>
            <w:tcBorders>
              <w:top w:val="single" w:color="534AB7" w:sz="4" w:space="0"/>
              <w:left w:val="single" w:color="534AB7" w:sz="16" w:space="0"/>
              <w:bottom w:val="single" w:color="534AB7" w:sz="16"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16" w:space="0"/>
              <w:right w:val="single" w:color="534AB7"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COUNT 3 ORIGINALS IN FRONT OF CHA. DO NOT LEAVE WITHOUT ALL 3.</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534AB7" w:sz="16" w:space="0"/>
              <w:left w:val="single" w:color="534AB7" w:sz="16" w:space="0"/>
              <w:bottom w:val="single" w:color="534AB7" w:sz="4" w:space="0"/>
              <w:right w:val="single" w:color="534AB7" w:sz="4" w:space="0"/>
            </w:tcBorders>
            <w:shd w:fill="534AB7"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5</w:t>
            </w:r>
          </w:p>
        </w:tc>
        <w:tc>
          <w:tcPr>
            <w:tcW w:type="dxa" w:w="9038"/>
            <w:tcBorders>
              <w:top w:val="single" w:color="534AB7" w:sz="16" w:space="0"/>
              <w:left w:val="single" w:color="534AB7" w:sz="4" w:space="0"/>
              <w:bottom w:val="single" w:color="534AB7" w:sz="4" w:space="0"/>
              <w:right w:val="single" w:color="534AB7" w:sz="16" w:space="0"/>
            </w:tcBorders>
            <w:shd w:fill="EEEDFE"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Send Scanned BL to Buyer and Accounts Simultaneously</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534AB7"/>
                <w:sz w:val="18"/>
                <w:szCs w:val="18"/>
              </w:rPr>
              <w:t xml:space="preserve">Think of it this way:  </w:t>
            </w:r>
            <w:r>
              <w:rPr>
                <w:rFonts w:ascii="Arial" w:cs="Arial" w:eastAsia="Arial" w:hAnsi="Arial"/>
                <w:i/>
                <w:iCs/>
                <w:color w:val="333333"/>
                <w:sz w:val="18"/>
                <w:szCs w:val="18"/>
              </w:rPr>
              <w:t xml:space="preserve">The BL originals arrive on a Monday. You plan to scan and send them Tuesday morning. Tuesday a team meeting runs long. You send the scanned BL Wednesday afternoon. The 7-day payment window started Monday — when the BL was dated. By the time the buyer receives the scan on Wednesday, they have already lost 2 of their 7 days. They pay on Day 7 from their perspective — which is Day 9 from the BL date. NexaCrest's terms say 7 days from BL date. Now there is a technical default — caused by NexaCrest's own delay in sending the scanned BL.</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The moment BL originals are in hand — scan one original immediately. Send the scanned copy to the buyer and Accounts in the same email. Do not wait until the next day. The 7-day payment window runs from the BL date — not from when you send the scan. Every day you delay in sending the scan is a day the buyer loses from their payment window through no fault of their own.</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Delaying the scan means the buyer has less time to arrange payment within the agreed window. If they then pay late — technically they may have grounds to argue they were given insufficient time. NexaCrest created the problem by delaying the scan. This is an own goal.</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Scan the same day BL originals arrive. Send to buyer and Accounts simultaneously. Record the send date in the Order Data Sheet.</w:t>
            </w:r>
          </w:p>
        </w:tc>
      </w:tr>
      <w:tr>
        <w:tc>
          <w:tcPr>
            <w:tcW w:type="dxa" w:w="600"/>
            <w:tcBorders>
              <w:top w:val="single" w:color="534AB7" w:sz="4" w:space="0"/>
              <w:left w:val="single" w:color="534AB7" w:sz="16" w:space="0"/>
              <w:bottom w:val="single" w:color="534AB7" w:sz="16"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16" w:space="0"/>
              <w:right w:val="single" w:color="534AB7"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SCAN SAME DAY. SEND TO BUYER AND ACCOUNTS SIMULTANEOUSLY. RECORD DATE.</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534AB7" w:sz="16" w:space="0"/>
              <w:left w:val="single" w:color="534AB7" w:sz="16" w:space="0"/>
              <w:bottom w:val="single" w:color="534AB7" w:sz="4" w:space="0"/>
              <w:right w:val="single" w:color="534AB7" w:sz="4" w:space="0"/>
            </w:tcBorders>
            <w:shd w:fill="534AB7"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6</w:t>
            </w:r>
          </w:p>
        </w:tc>
        <w:tc>
          <w:tcPr>
            <w:tcW w:type="dxa" w:w="9038"/>
            <w:tcBorders>
              <w:top w:val="single" w:color="534AB7" w:sz="16" w:space="0"/>
              <w:left w:val="single" w:color="534AB7" w:sz="4" w:space="0"/>
              <w:bottom w:val="single" w:color="534AB7" w:sz="4" w:space="0"/>
              <w:right w:val="single" w:color="534AB7" w:sz="16" w:space="0"/>
            </w:tcBorders>
            <w:shd w:fill="EEEDFE"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Endorse and Courier BL — Only After Balance Cleared</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534AB7"/>
                <w:sz w:val="18"/>
                <w:szCs w:val="18"/>
              </w:rPr>
              <w:t xml:space="preserve">Think of it this way:  </w:t>
            </w:r>
            <w:r>
              <w:rPr>
                <w:rFonts w:ascii="Arial" w:cs="Arial" w:eastAsia="Arial" w:hAnsi="Arial"/>
                <w:i/>
                <w:iCs/>
                <w:color w:val="333333"/>
                <w:sz w:val="18"/>
                <w:szCs w:val="18"/>
              </w:rPr>
              <w:t xml:space="preserve">The buyer says payment has been sent. Accounts says they can see it coming. You endorse the BL originals and hand them to the courier. The next morning the payment has not arrived — it was recalled by the buyer's bank for a compliance query. The BL originals are already with the courier, en route to the buyer. NexaCrest has endorsed the document of title and handed it over against an uncleared payment. The cargo is effectively released. The balance is not in the account.</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Do not touch the BL originals for endorsement until Accounts sends a written email confirming the 60% balance is CLEARED in the SBI account. After written clearance is received — endorse all 3 originals (NexaCrest rubber stamp, wet signature, date, For NexaCrest International Private Limited on the reverse). Courier all 3 together with: signed CI, signed PL, original COO from CAPEXIL, Fumigation Certificate. Record courier tracking number in the Order Data Sheet.</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Endorsing and releasing the BL before balance is cleared means NexaCrest has surrendered the document of title for an uncollected payment. Once the endorsed BL is with the buyer — or the courier — there is no recovery mechanism. The cargo will be released at the destination port regardless of whether the payment arrives.</w:t>
            </w:r>
          </w:p>
        </w:tc>
      </w:tr>
      <w:tr>
        <w:tc>
          <w:tcPr>
            <w:tcW w:type="dxa" w:w="600"/>
            <w:tcBorders>
              <w:top w:val="single" w:color="534AB7" w:sz="4" w:space="0"/>
              <w:left w:val="single" w:color="534AB7" w:sz="16" w:space="0"/>
              <w:bottom w:val="single" w:color="534AB7" w:sz="4"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4" w:space="0"/>
              <w:right w:val="single" w:color="534AB7"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Wait for written clearance from Accounts. Every single time. Not 'Accounts said it is coming.' Not 'I can see it in the bank.' CLEARED means credited and available.</w:t>
            </w:r>
          </w:p>
        </w:tc>
      </w:tr>
      <w:tr>
        <w:tc>
          <w:tcPr>
            <w:tcW w:type="dxa" w:w="600"/>
            <w:tcBorders>
              <w:top w:val="single" w:color="534AB7" w:sz="4" w:space="0"/>
              <w:left w:val="single" w:color="534AB7" w:sz="16" w:space="0"/>
              <w:bottom w:val="single" w:color="534AB7" w:sz="16" w:space="0"/>
              <w:right w:val="single" w:color="534AB7" w:sz="4" w:space="0"/>
            </w:tcBorders>
            <w:shd w:fill="534AB7" w:val="clear"/>
          </w:tcPr>
          <w:p>
            <w:pPr>
              <w:spacing w:after="20"/>
            </w:pPr>
          </w:p>
        </w:tc>
        <w:tc>
          <w:tcPr>
            <w:tcW w:type="dxa" w:w="9038"/>
            <w:tcBorders>
              <w:top w:val="single" w:color="534AB7" w:sz="4" w:space="0"/>
              <w:left w:val="single" w:color="534AB7" w:sz="4" w:space="0"/>
              <w:bottom w:val="single" w:color="534AB7" w:sz="16" w:space="0"/>
              <w:right w:val="single" w:color="534AB7"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WRITTEN CLEARANCE FROM ACCOUNTS BEFORE ENDORSEMENT. EVERY TIME. NO EXCEPTIONS.</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2026-09-17T10:03:06.105Z</dcterms:created>
  <dcterms:modified xsi:type="dcterms:W3CDTF">2026-09-17T10:03:06.105Z</dcterms:modified>
</cp:coreProperties>
</file>

<file path=docProps/custom.xml><?xml version="1.0" encoding="utf-8"?>
<Properties xmlns="http://schemas.openxmlformats.org/officeDocument/2006/custom-properties" xmlns:vt="http://schemas.openxmlformats.org/officeDocument/2006/docPropsVTypes"/>
</file>