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05 — ANNUAL COMPLIANCE</w:t>
            </w:r>
          </w:p>
          <w:p>
            <w:pPr>
              <w:spacing w:after="40"/>
              <w:jc w:val="center"/>
            </w:pPr>
            <w:r>
              <w:rPr>
                <w:rFonts w:ascii="Arial" w:cs="Arial" w:eastAsia="Arial" w:hAnsi="Arial"/>
                <w:b/>
                <w:bCs/>
                <w:color w:val="AAAACC"/>
                <w:sz w:val="18"/>
                <w:szCs w:val="18"/>
              </w:rPr>
              <w:t xml:space="preserve">LUT, RCMC, Bank Mandate &amp; Annual Reviews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FBEAEA" w:val="clear"/>
            <w:tcMar>
              <w:top w:type="dxa" w:w="100"/>
              <w:left w:type="dxa" w:w="180"/>
              <w:bottom w:type="dxa" w:w="100"/>
              <w:right w:type="dxa" w:w="180"/>
            </w:tcMar>
          </w:tcPr>
          <w:p>
            <w:pPr>
              <w:spacing w:after="120"/>
              <w:jc w:val="left"/>
            </w:pPr>
            <w:r>
              <w:rPr>
                <w:rFonts w:ascii="Arial" w:cs="Arial" w:eastAsia="Arial" w:hAnsi="Arial"/>
                <w:sz w:val="18"/>
                <w:szCs w:val="18"/>
              </w:rPr>
              <w:t xml:space="preserve">Annual compliance is invisible when it is done correctly. It is catastrophic when it is missed. An expired LUT on 1 April means every export from that day costs NexaCrest 18% IGST upfront — on every invoice, for every shipment, until it is renewed. An expired RCMC means no Certificate of Origin can be issued — and without a COO, buyers cannot clear customs.</w:t>
            </w:r>
          </w:p>
          <w:p>
            <w:pPr>
              <w:spacing w:after="60"/>
            </w:pPr>
          </w:p>
          <w:p>
            <w:pPr>
              <w:spacing w:after="120"/>
              <w:jc w:val="left"/>
            </w:pPr>
            <w:r>
              <w:rPr>
                <w:rFonts w:ascii="Arial" w:cs="Arial" w:eastAsia="Arial" w:hAnsi="Arial"/>
                <w:b/>
                <w:bCs/>
                <w:sz w:val="18"/>
                <w:szCs w:val="18"/>
              </w:rPr>
              <w:t xml:space="preserve">These are not administrative tasks. They are the operating licence for NexaCrest's export business. Missing them does not create paperwork — it stops shipments.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LUT Renewal — Before 31 March Every Year</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Think of it this way:  </w:t>
            </w:r>
            <w:r>
              <w:rPr>
                <w:rFonts w:ascii="Arial" w:cs="Arial" w:eastAsia="Arial" w:hAnsi="Arial"/>
                <w:i/>
                <w:iCs/>
                <w:color w:val="333333"/>
                <w:sz w:val="18"/>
                <w:szCs w:val="18"/>
              </w:rPr>
              <w:t xml:space="preserve">It is 2 April. A buyer has placed a large order. Production is complete. The CI is being prepared. The Accounts Officer opens the PI and CI to check the LUT declaration — and notices the LUT Order Number. They check the GST portal. The LUT expired on 31 March. Yesterday. Every export invoice issued from 1 April without a valid LUT is technically not zero-rated. NexaCrest must now pay 18% IGST on the invoice value and claim a refund later — tying up significant working capital while the refund is processed.</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Log in to the GST portal (gst.gov.in) before 31 March every year. Navigate to Services → User Services → Furnish Letter of Undertaking. File the LUT for the new financial year. Note the new LUT Order Number. Update the LUT Order Number on all document templates on 1 April — PI, CI, and any other document showing the LUT number. File the renewal confirmation.</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An expired LUT means NexaCrest cannot export on zero-rated basis. Every shipment after 31 March without a renewed LUT incurs 18% IGST on the export value — payable upfront and recoverable only through a refund process that takes weeks. This is a direct cash flow impact on every active order.</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Set a calendar reminder for 15 March — two weeks before the deadline. That is enough time to log in, file, and confirm. Do not leave it to the last week of March.</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LUT RENEWED BEFORE 31 MARCH. TEMPLATES UPDATED ON 1 APRIL.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RCMC Renewal — 60 Days Before Expiry</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Think of it this way:  </w:t>
            </w:r>
            <w:r>
              <w:rPr>
                <w:rFonts w:ascii="Arial" w:cs="Arial" w:eastAsia="Arial" w:hAnsi="Arial"/>
                <w:i/>
                <w:iCs/>
                <w:color w:val="333333"/>
                <w:sz w:val="18"/>
                <w:szCs w:val="18"/>
              </w:rPr>
              <w:t xml:space="preserve">A large shipment is ready. The Packing List is done. The BL is booked. The buyer is waiting. Then the CHA applies for the Certificate of Origin through CAPEXIL. CAPEXIL rejects the application — the RCMC expired 3 days ago. The COO cannot be issued until the RCMC is renewed. RCMC renewal takes several days. The BL booking may be missed. The vessel sails without the container. The buyer's installation crew is already on site at the destination.</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Check the RCMC expiry date 60 days before it falls due. Initiate renewal with CAPEXIL at 60 days — not at 30, not at 10. Early renewal means any complications in the renewal process can be resolved without affecting live shipments. Update the RCMC number on the COO Prep Sheet template after renewal.</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An expired RCMC stops COO issuance completely. Without a COO the buyer cannot claim preferential import duty at destination. In some markets this means the buyer pays significantly higher import duties — which they will deduct from future orders or use as grounds for a price dispute. In all markets it means the document set is incomplete and customs clearance is delayed.</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Add RCMC expiry date to the annual compliance calendar the moment the current certificate is received. Set a 60-day reminder. Act on the reminder the same day it fires.</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RCMC RENEWAL STARTED 60 DAYS BEFORE EXPIRY. NOT 30. NOT 10. 60.</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Document Template Annual Review — 1 April Every Year</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Think of it this way:  </w:t>
            </w:r>
            <w:r>
              <w:rPr>
                <w:rFonts w:ascii="Arial" w:cs="Arial" w:eastAsia="Arial" w:hAnsi="Arial"/>
                <w:i/>
                <w:iCs/>
                <w:color w:val="333333"/>
                <w:sz w:val="18"/>
                <w:szCs w:val="18"/>
              </w:rPr>
              <w:t xml:space="preserve">A new financial year starts. The LUT has been renewed — new Order Number. But nobody updated the PI and CI templates. For the first three weeks of April, every PI and CI goes out with the old LUT number. Buyers receiving these documents see a LUT number that expired on 31 March. A careful buyer notices and questions whether NexaCrest's export documentation is in order. An auditor reviewing the documents later flags the discrepancy. A simple update that should have taken 30 minutes on 1 April is now a documentation compliance question.</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On 1 April every year — open every document template. Check: LUT Order Number updated, RCMC updated on COO Prep Sheet, GSTIN correct, IEC correct, bank details correct (account number, SWIFT, IFSC, pincode 560095), company address correct, contact details correct. Update anything that has changed. Save the updated templates. Distribute to all team members. Retire the old versions — do not leave old templates accessible.</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Outdated information on commercial documents is a compliance risk. Banks, customs, and regulatory bodies cross-reference document details against registered records. A mismatch — even a small one like an old LUT number — creates a question about document validity. Questions slow down payments, customs clearance, and regulatory approvals.</w:t>
            </w:r>
          </w:p>
        </w:tc>
      </w:tr>
      <w:tr>
        <w:tc>
          <w:tcPr>
            <w:tcW w:type="dxa" w:w="600"/>
            <w:tcBorders>
              <w:top w:val="single" w:color="A32D2D" w:sz="4" w:space="0"/>
              <w:left w:val="single" w:color="A32D2D" w:sz="16" w:space="0"/>
              <w:bottom w:val="single" w:color="A32D2D" w:sz="4"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4" w:space="0"/>
              <w:right w:val="single" w:color="A32D2D"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Make 1 April a standing diary event: Template Review Day. Block one hour. Go through every template systematically. It is 60 minutes once a year that protects the integrity of every document issued in that financial year.</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1 APRIL = TEMPLATE REVIEW DAY. EVERY TEMPLATE. EVERY FIELD. ONE HOUR.</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2026-09-17T10:03:06.125Z</dcterms:created>
  <dcterms:modified xsi:type="dcterms:W3CDTF">2026-09-17T10:03:06.126Z</dcterms:modified>
</cp:coreProperties>
</file>

<file path=docProps/custom.xml><?xml version="1.0" encoding="utf-8"?>
<Properties xmlns="http://schemas.openxmlformats.org/officeDocument/2006/custom-properties" xmlns:vt="http://schemas.openxmlformats.org/officeDocument/2006/docPropsVTypes"/>
</file>