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B8DB" w14:textId="77777777" w:rsidR="00DE6229" w:rsidRDefault="00DE6229"/>
    <w:p w14:paraId="1D3B80ED" w14:textId="77777777" w:rsidR="00DE6229" w:rsidRDefault="00000000">
      <w:pPr>
        <w:jc w:val="center"/>
      </w:pPr>
      <w:r>
        <w:rPr>
          <w:b/>
          <w:sz w:val="32"/>
        </w:rPr>
        <w:t>Anava — NeuroWellness</w:t>
      </w:r>
    </w:p>
    <w:p w14:paraId="0ECDD5FF" w14:textId="77777777" w:rsidR="00DE6229" w:rsidRDefault="00000000">
      <w:pPr>
        <w:jc w:val="center"/>
      </w:pPr>
      <w:r>
        <w:rPr>
          <w:b/>
          <w:sz w:val="48"/>
        </w:rPr>
        <w:t>Layered Database Architecture</w:t>
      </w:r>
    </w:p>
    <w:p w14:paraId="09975F92" w14:textId="77777777" w:rsidR="00DE6229" w:rsidRDefault="00000000">
      <w:pPr>
        <w:jc w:val="center"/>
      </w:pPr>
      <w:r>
        <w:rPr>
          <w:sz w:val="28"/>
        </w:rPr>
        <w:t>Production-Grade Design for a 10+ Year Service Life</w:t>
      </w:r>
    </w:p>
    <w:p w14:paraId="0F3A25E8" w14:textId="77777777" w:rsidR="00DE6229" w:rsidRDefault="00000000">
      <w:pPr>
        <w:jc w:val="center"/>
      </w:pPr>
      <w:r>
        <w:rPr>
          <w:i/>
        </w:rPr>
        <w:t>Target build: new database anava_v1 (PostgreSQL 15, AWS RDS ap-south-1)</w:t>
      </w:r>
    </w:p>
    <w:p w14:paraId="44CCDBCB" w14:textId="77777777" w:rsidR="00DE6229" w:rsidRDefault="00DE6229"/>
    <w:p w14:paraId="0218E287" w14:textId="77777777" w:rsidR="00DE6229" w:rsidRDefault="00000000">
      <w:pPr>
        <w:jc w:val="center"/>
      </w:pPr>
      <w:r>
        <w:t>Version 1.0  •  Draft for approval  •  July 2026</w:t>
      </w:r>
    </w:p>
    <w:p w14:paraId="0FB6F81D" w14:textId="3E71783E" w:rsidR="00DE6229" w:rsidRDefault="00000000">
      <w:pPr>
        <w:jc w:val="center"/>
      </w:pPr>
      <w:r>
        <w:t xml:space="preserve">Prepared by: </w:t>
      </w:r>
      <w:r w:rsidR="00550876">
        <w:t>Mohan Rao</w:t>
      </w:r>
      <w:r>
        <w:t xml:space="preserve"> (PCS </w:t>
      </w:r>
      <w:proofErr w:type="spellStart"/>
      <w:r>
        <w:t>DatAI</w:t>
      </w:r>
      <w:proofErr w:type="spellEnd"/>
      <w:r>
        <w:t>)</w:t>
      </w:r>
    </w:p>
    <w:p w14:paraId="7959244F" w14:textId="77777777" w:rsidR="00DE6229" w:rsidRDefault="00DE6229"/>
    <w:p w14:paraId="6BD2EF3F" w14:textId="77777777" w:rsidR="00DE6229" w:rsidRDefault="00000000">
      <w:pPr>
        <w:jc w:val="center"/>
      </w:pPr>
      <w:r>
        <w:rPr>
          <w:i/>
          <w:color w:val="C00000"/>
          <w:sz w:val="20"/>
        </w:rPr>
        <w:t>This document is a design for approval. No database changes have been made. On sign-off, Layers 1-4 are built as fresh DDL in a new anava_v1 database; Layer 5 (compliance tables) and any data migration wait on the two blockers named in Section 3.</w:t>
      </w:r>
    </w:p>
    <w:p w14:paraId="16312A2B" w14:textId="77777777" w:rsidR="00DE6229" w:rsidRDefault="00000000">
      <w:r>
        <w:br w:type="page"/>
      </w:r>
    </w:p>
    <w:p w14:paraId="772B64D9" w14:textId="77777777" w:rsidR="00DE6229" w:rsidRDefault="00000000">
      <w:pPr>
        <w:pStyle w:val="Heading1"/>
      </w:pPr>
      <w:r>
        <w:lastRenderedPageBreak/>
        <w:t>1. Purpose</w:t>
      </w:r>
    </w:p>
    <w:p w14:paraId="56C8BFA2" w14:textId="77777777" w:rsidR="00DE6229" w:rsidRDefault="00000000">
      <w:r>
        <w:t>The current schema (61 tables, PostgreSQL 15 on AWS RDS) runs the full patient journey and is correct for what it does. It was, however, grown feature-by-feature: everything lives in the default postgres database inside one public schema, there are no database-level foreign keys or check constraints, and the largest tables (audit and activity logs, appointments, sessions) grow without bound. None of that is a problem at today's volume. All of it becomes a problem somewhere between year 3 and year 8.</w:t>
      </w:r>
    </w:p>
    <w:p w14:paraId="6E6C8BC8" w14:textId="77777777" w:rsidR="00DE6229" w:rsidRDefault="00000000">
      <w:r>
        <w:t>This document defines a layered architecture whose single goal is a database that still runs correctly and quickly after ten years of accumulated data, staff turnover, and regulatory change. Each layer exists to neutralise one specific way a long-lived database decays: uncontrolled growth, schema drift, weak integrity, or migration downtime.</w:t>
      </w:r>
    </w:p>
    <w:p w14:paraId="553B6101" w14:textId="77777777" w:rsidR="00DE6229" w:rsidRDefault="00000000">
      <w:r>
        <w:rPr>
          <w:b/>
        </w:rPr>
        <w:t>Scope boundary: this is a structural and operational architecture. It organises and hardens the data model. It is the container. It does not, by itself, build the compliance tables and columns defined in the separate "Closure Schema Change Requirements" document — those are the contents that live inside Layer 5. Adopting this architecture is not the same as being compliant. Section 2 states exactly what is and is not covered.</w:t>
      </w:r>
    </w:p>
    <w:p w14:paraId="62054C30" w14:textId="77777777" w:rsidR="00DE6229" w:rsidRDefault="00000000">
      <w:pPr>
        <w:pStyle w:val="Heading1"/>
      </w:pPr>
      <w:r>
        <w:t>2. Coverage Assessment</w:t>
      </w:r>
    </w:p>
    <w:p w14:paraId="0048ABB4" w14:textId="77777777" w:rsidR="00DE6229" w:rsidRDefault="00000000">
      <w:r>
        <w:t>The explicit question this document must answer before any build begins: does the layered architecture cover all present requirements, everything built so far, and the compliance obligations? The honest answer is split three ways.</w:t>
      </w:r>
    </w:p>
    <w:p w14:paraId="7EEFB8D5" w14:textId="77777777" w:rsidR="00DE6229" w:rsidRDefault="00000000">
      <w:r>
        <w:rPr>
          <w:b/>
          <w:color w:val="1E7A33"/>
        </w:rPr>
        <w:t xml:space="preserve">2.1  Fully covered </w:t>
      </w:r>
    </w:p>
    <w:p w14:paraId="4D92B62C" w14:textId="77777777" w:rsidR="00DE6229" w:rsidRDefault="00000000">
      <w:pPr>
        <w:pStyle w:val="ListBullet"/>
      </w:pPr>
      <w:r>
        <w:rPr>
          <w:b/>
          <w:color w:val="1E7A33"/>
        </w:rPr>
        <w:t xml:space="preserve">All existing tables — </w:t>
      </w:r>
      <w:r>
        <w:t>Every one of the 61 existing tables is assigned to a layer and a schema (full map in Section 5). Nothing is dropped, merged away, or left unclassified.</w:t>
      </w:r>
    </w:p>
    <w:p w14:paraId="10638257" w14:textId="77777777" w:rsidR="00DE6229" w:rsidRDefault="00000000">
      <w:pPr>
        <w:pStyle w:val="ListBullet"/>
      </w:pPr>
      <w:r>
        <w:rPr>
          <w:b/>
          <w:color w:val="1E7A33"/>
        </w:rPr>
        <w:t xml:space="preserve">Everything built (stages 0-12) — </w:t>
      </w:r>
      <w:r>
        <w:t>The layers reorganise and harden the stages 0-12 work; they do not remove or rewrite existing business logic. The application's tables, columns, and relationships are preserved.</w:t>
      </w:r>
    </w:p>
    <w:p w14:paraId="548BFA9A" w14:textId="77777777" w:rsidR="00DE6229" w:rsidRDefault="00000000">
      <w:pPr>
        <w:pStyle w:val="ListBullet"/>
      </w:pPr>
      <w:r>
        <w:rPr>
          <w:b/>
          <w:color w:val="1E7A33"/>
        </w:rPr>
        <w:t xml:space="preserve">10-year growth and speed — </w:t>
      </w:r>
      <w:r>
        <w:t>Time-based partitioning (Layer 4) keeps query time flat as data accumulates. A ten-year appointments table behaves, per query, like a one-year table.</w:t>
      </w:r>
    </w:p>
    <w:p w14:paraId="1919CC3A" w14:textId="77777777" w:rsidR="00DE6229" w:rsidRDefault="00000000">
      <w:pPr>
        <w:pStyle w:val="ListBullet"/>
      </w:pPr>
      <w:r>
        <w:rPr>
          <w:b/>
          <w:color w:val="1E7A33"/>
        </w:rPr>
        <w:t xml:space="preserve">Structural integrity — </w:t>
      </w:r>
      <w:r>
        <w:t>Foreign keys and native enums (Layer 2) move integrity from app-code-only to the database itself, closing the single largest structural gap in the current schema.</w:t>
      </w:r>
    </w:p>
    <w:p w14:paraId="0DBC7E3A" w14:textId="77777777" w:rsidR="00DE6229" w:rsidRDefault="00000000">
      <w:pPr>
        <w:pStyle w:val="ListBullet"/>
      </w:pPr>
      <w:r>
        <w:rPr>
          <w:b/>
          <w:color w:val="1E7A33"/>
        </w:rPr>
        <w:t xml:space="preserve">Access isolation — </w:t>
      </w:r>
      <w:r>
        <w:t>Schema separation plus dedicated roles (Layers 1 and 3) give reporting, compliance tooling, and future BI a safe, least-privilege home without sharing the application's write credentials.</w:t>
      </w:r>
    </w:p>
    <w:p w14:paraId="1343308B" w14:textId="77777777" w:rsidR="00DE6229" w:rsidRDefault="00000000">
      <w:r>
        <w:rPr>
          <w:b/>
          <w:color w:val="C55A00"/>
        </w:rPr>
        <w:t xml:space="preserve">2.2  Housed but not built by this architecture </w:t>
      </w:r>
    </w:p>
    <w:p w14:paraId="13AA0430" w14:textId="77777777" w:rsidR="00DE6229" w:rsidRDefault="00000000">
      <w:r>
        <w:lastRenderedPageBreak/>
        <w:t>Compliance is enabled and given a home by the layers, but the actual compliance schema objects are separate net-new work. This distinction is the most important line in the document.</w:t>
      </w:r>
    </w:p>
    <w:p w14:paraId="7C6F680C" w14:textId="77777777" w:rsidR="00DE6229" w:rsidRDefault="00000000">
      <w:pPr>
        <w:pStyle w:val="ListBullet"/>
      </w:pPr>
      <w:r>
        <w:t>Layer 1 gives it a dedicated compliance schema, isolated from live clinical data with its own role.</w:t>
      </w:r>
    </w:p>
    <w:p w14:paraId="58F7808E" w14:textId="77777777" w:rsidR="00DE6229" w:rsidRDefault="00000000">
      <w:pPr>
        <w:pStyle w:val="ListBullet"/>
      </w:pPr>
      <w:r>
        <w:t>Layer 4 makes the retention purge a partition DROP (instant) instead of a mass DELETE (slow, bloat-inducing) — directly serving the 7/8/10-year retention schedule in the policy.</w:t>
      </w:r>
    </w:p>
    <w:p w14:paraId="2A0BAC84" w14:textId="77777777" w:rsidR="00DE6229" w:rsidRDefault="00000000">
      <w:pPr>
        <w:pStyle w:val="ListBullet"/>
      </w:pPr>
      <w:r>
        <w:t>Layer 5 is the retention and archival lifecycle that the compliance purge worker plugs into.</w:t>
      </w:r>
    </w:p>
    <w:p w14:paraId="1CE61122" w14:textId="77777777" w:rsidR="00DE6229" w:rsidRDefault="00000000">
      <w:r>
        <w:rPr>
          <w:b/>
        </w:rPr>
        <w:t>But the 12 items from the Closure Schema Change Requirements document (erasure_requests, retention/anonymisation columns, data_portability_requests, guardian consent linkage, staff termination dual-authorisation, breach table, grievance-officer role, and the rest) are NOT created by adopting this architecture. They are built into the compliance schema as a distinct workstream, and — per the project's Doc → Schema → Code rule — only after the compliance policy clears legal review. The layers make that work land cleanly; they do not do it.</w:t>
      </w:r>
    </w:p>
    <w:p w14:paraId="412BFC46" w14:textId="77777777" w:rsidR="00DE6229" w:rsidRDefault="00000000">
      <w:r>
        <w:rPr>
          <w:b/>
          <w:color w:val="555555"/>
        </w:rPr>
        <w:t xml:space="preserve">2.3  Not covered (out of scope for this document) </w:t>
      </w:r>
    </w:p>
    <w:p w14:paraId="4F79E8BD" w14:textId="77777777" w:rsidR="00DE6229" w:rsidRDefault="00000000">
      <w:pPr>
        <w:pStyle w:val="ListBullet"/>
      </w:pPr>
      <w:r>
        <w:t>Application code changes. Repositories that today assume a single public schema will need their table references qualified (or search_path set). This is wiring work, tracked separately.</w:t>
      </w:r>
    </w:p>
    <w:p w14:paraId="12E2764D" w14:textId="77777777" w:rsidR="00DE6229" w:rsidRDefault="00000000">
      <w:pPr>
        <w:pStyle w:val="ListBullet"/>
      </w:pPr>
      <w:r>
        <w:t>The de-identified analytics content (Section 8 of the compliance policy). Layer 1 reserves the analytics schema; the ETL and aggregate tables are future work with no consumer yet.</w:t>
      </w:r>
    </w:p>
    <w:p w14:paraId="14E12112" w14:textId="77777777" w:rsidR="00DE6229" w:rsidRDefault="00000000">
      <w:pPr>
        <w:pStyle w:val="ListBullet"/>
      </w:pPr>
      <w:r>
        <w:t>Cross-border / EU residency architecture. Infrastructure decision, not a schema-layer concern until EU expansion is real.</w:t>
      </w:r>
    </w:p>
    <w:p w14:paraId="1BBE72C1" w14:textId="77777777" w:rsidR="00DE6229" w:rsidRDefault="00000000">
      <w:pPr>
        <w:pStyle w:val="Heading1"/>
      </w:pPr>
      <w:r>
        <w:t>3. Blockers Before Build (must resolve first)</w:t>
      </w:r>
    </w:p>
    <w:p w14:paraId="744506F7" w14:textId="77777777" w:rsidR="00DE6229" w:rsidRDefault="00000000">
      <w:r>
        <w:t>Two pre-existing project decisions gate a clean anava_v1 rebuild. Neither is created by this design; both are surfaced here because building around them, rather than through them, wastes the rebuild.</w:t>
      </w:r>
    </w:p>
    <w:p w14:paraId="17291C0E" w14:textId="77777777" w:rsidR="00DE6229" w:rsidRDefault="00000000">
      <w:r>
        <w:rPr>
          <w:b/>
          <w:color w:val="C00000"/>
        </w:rPr>
        <w:t xml:space="preserve">Blocker 1 — Flow Pivot fork unresolved. </w:t>
      </w:r>
    </w:p>
    <w:p w14:paraId="1F261556" w14:textId="77777777" w:rsidR="00DE6229" w:rsidRDefault="00000000">
      <w:r>
        <w:t>The schema currently carries two coexisting treatment models: the original fixed Session 1-4 model (sessions, treatment_cycles, treatment_sessions) and the post-pivot Appointment/Device-Session model (appointments, appointment_requests). A from-scratch anava_v1 forces the question the current schema avoids: does v1 carry both models forward, or commit to the post-pivot model? Building v1 without answering this bakes the ambiguity into the schema that was supposed to be clean. This decision is pending doctor sign-off. It must be made before data migration into v1, and ideally before the core schema DDL is finalised.</w:t>
      </w:r>
    </w:p>
    <w:p w14:paraId="130D4C54" w14:textId="77777777" w:rsidR="00DE6229" w:rsidRDefault="00000000">
      <w:r>
        <w:rPr>
          <w:b/>
          <w:color w:val="C00000"/>
        </w:rPr>
        <w:t xml:space="preserve">Blocker 2 — Legal sign-off on the compliance policy. </w:t>
      </w:r>
    </w:p>
    <w:p w14:paraId="0035DBF5" w14:textId="77777777" w:rsidR="00DE6229" w:rsidRDefault="00000000">
      <w:r>
        <w:lastRenderedPageBreak/>
        <w:t>The Account Closure, Data Retention &amp; Regulatory Compliance Policy is still a Draft pending legal review. The compliance-schema tables in Layer 5 encode retention periods and erasure semantics that legal counsel must confirm. Per the project's strict Doc → Schema → Code order, those tables are not built until the policy is signed off. Layers 1-4 carry no compliance semantics and are not blocked by this.</w:t>
      </w:r>
    </w:p>
    <w:p w14:paraId="2D43E447" w14:textId="77777777" w:rsidR="00DE6229" w:rsidRDefault="00000000">
      <w:r>
        <w:rPr>
          <w:b/>
        </w:rPr>
        <w:t>Consequence: Layers 1-4 are buildable now as empty structured DDL in anava_v1. Layer 5 and any production data migration wait on Blockers 1 and 2 respectively.</w:t>
      </w:r>
    </w:p>
    <w:p w14:paraId="209939F5" w14:textId="77777777" w:rsidR="00DE6229" w:rsidRDefault="00000000">
      <w:pPr>
        <w:pStyle w:val="Heading1"/>
      </w:pPr>
      <w:r>
        <w:t>4. The Layers</w:t>
      </w:r>
    </w:p>
    <w:p w14:paraId="31513CC7" w14:textId="77777777" w:rsidR="00DE6229" w:rsidRDefault="00000000">
      <w:r>
        <w:t>Eight layers, each targeting one decay mode of a long-lived database. The layers are conceptual; they are realised as PostgreSQL schemas, constraints, roles, partitions, and operational routines inside a single anava_v1 database.</w:t>
      </w:r>
    </w:p>
    <w:p w14:paraId="149570CB" w14:textId="77777777" w:rsidR="00DE6229" w:rsidRDefault="00000000">
      <w:pPr>
        <w:pStyle w:val="Heading2"/>
      </w:pPr>
      <w:r>
        <w:t>Layer 1 — Namespace (schema separation)</w:t>
      </w:r>
    </w:p>
    <w:p w14:paraId="4414CEB3" w14:textId="77777777" w:rsidR="00DE6229" w:rsidRDefault="00000000">
      <w:r>
        <w:rPr>
          <w:b/>
        </w:rPr>
        <w:t xml:space="preserve">What it is / the problem: </w:t>
      </w:r>
      <w:r>
        <w:t>Everything lives in one public schema today, so nothing in the structure tells you whether a table is live clinical data, static configuration, or a write-once legal record.</w:t>
      </w:r>
    </w:p>
    <w:p w14:paraId="6D4A7048" w14:textId="77777777" w:rsidR="00DE6229" w:rsidRDefault="00000000">
      <w:r>
        <w:rPr>
          <w:b/>
        </w:rPr>
        <w:t xml:space="preserve">Why it matters for 10 years: </w:t>
      </w:r>
      <w:r>
        <w:t>In ten years nobody should have to ask which is which — the schema name should answer it. Separation also lets access be granted per schema instead of per table.</w:t>
      </w:r>
    </w:p>
    <w:p w14:paraId="5BC27064" w14:textId="77777777" w:rsidR="00DE6229" w:rsidRDefault="00000000">
      <w:r>
        <w:rPr>
          <w:b/>
        </w:rPr>
        <w:t xml:space="preserve">What lives here: </w:t>
      </w:r>
    </w:p>
    <w:p w14:paraId="4D5E9E72" w14:textId="77777777" w:rsidR="00DE6229" w:rsidRDefault="00000000">
      <w:pPr>
        <w:pStyle w:val="ListBullet"/>
      </w:pPr>
      <w:r>
        <w:t>core — live OLTP domain data (patients, appointments, treatment, clinical files)</w:t>
      </w:r>
    </w:p>
    <w:p w14:paraId="41F14764" w14:textId="77777777" w:rsidR="00DE6229" w:rsidRDefault="00000000">
      <w:pPr>
        <w:pStyle w:val="ListBullet"/>
      </w:pPr>
      <w:r>
        <w:t>reference — static catalogue/config (PRS diseases/scales/questions, translations, consent templates, products)</w:t>
      </w:r>
    </w:p>
    <w:p w14:paraId="604CA835" w14:textId="77777777" w:rsidR="00DE6229" w:rsidRDefault="00000000">
      <w:pPr>
        <w:pStyle w:val="ListBullet"/>
      </w:pPr>
      <w:r>
        <w:t>compliance — write-once legal/audit records and (future) retention tables</w:t>
      </w:r>
    </w:p>
    <w:p w14:paraId="77DDF422" w14:textId="77777777" w:rsidR="00DE6229" w:rsidRDefault="00000000">
      <w:pPr>
        <w:pStyle w:val="ListBullet"/>
      </w:pPr>
      <w:r>
        <w:t>analytics — de-identified aggregates (future, Section 8 of the policy)</w:t>
      </w:r>
    </w:p>
    <w:p w14:paraId="18EBB85C" w14:textId="77777777" w:rsidR="00DE6229" w:rsidRDefault="00000000">
      <w:pPr>
        <w:pStyle w:val="ListBullet"/>
      </w:pPr>
      <w:r>
        <w:t>archive — detached cold partitions awaiting purge or anonymisation</w:t>
      </w:r>
    </w:p>
    <w:p w14:paraId="260C6C94" w14:textId="77777777" w:rsidR="00DE6229" w:rsidRDefault="00000000">
      <w:pPr>
        <w:pStyle w:val="ListBullet"/>
      </w:pPr>
      <w:r>
        <w:t>ops — infrastructure and migration bookkeeping (outbox_events, version tables)</w:t>
      </w:r>
    </w:p>
    <w:p w14:paraId="45AE245C" w14:textId="77777777" w:rsidR="00DE6229" w:rsidRDefault="00000000">
      <w:r>
        <w:rPr>
          <w:b/>
        </w:rPr>
        <w:t xml:space="preserve">Cost / migration note: </w:t>
      </w:r>
      <w:r>
        <w:t>Low. ALTER TABLE ... SET SCHEMA per table. One migration, no data movement, no downtime. In a fresh anava_v1 build the tables are simply created in the right schema from the start.</w:t>
      </w:r>
    </w:p>
    <w:p w14:paraId="44B5B8E9" w14:textId="77777777" w:rsidR="00DE6229" w:rsidRDefault="00DE6229"/>
    <w:p w14:paraId="0A83942C" w14:textId="77777777" w:rsidR="00DE6229" w:rsidRDefault="00000000">
      <w:pPr>
        <w:pStyle w:val="Heading2"/>
      </w:pPr>
      <w:r>
        <w:t>Layer 2 — Integrity (foreign keys, enums, checks)</w:t>
      </w:r>
    </w:p>
    <w:p w14:paraId="74D80112" w14:textId="77777777" w:rsidR="00DE6229" w:rsidRDefault="00000000">
      <w:r>
        <w:rPr>
          <w:b/>
        </w:rPr>
        <w:t xml:space="preserve">What it is / the problem: </w:t>
      </w:r>
      <w:r>
        <w:t>Verified against the live database: zero foreign-key constraints and zero check constraints across all 61 tables. Every patient_id / clinic_id / doctor_id reference and every status column is enforced only in application code.</w:t>
      </w:r>
    </w:p>
    <w:p w14:paraId="1DAE0C5F" w14:textId="77777777" w:rsidR="00DE6229" w:rsidRDefault="00000000">
      <w:r>
        <w:rPr>
          <w:b/>
        </w:rPr>
        <w:lastRenderedPageBreak/>
        <w:t xml:space="preserve">Why it matters for 10 years: </w:t>
      </w:r>
      <w:r>
        <w:t>Integrity gaps compound. A dangling reference found in year 1 is a bug fix; the same gap found in year 8, after years of reports and exports built on top of it, is a data-trust crisis. This layer gets more expensive to add every year it is deferred.</w:t>
      </w:r>
    </w:p>
    <w:p w14:paraId="391D63AA" w14:textId="77777777" w:rsidR="00DE6229" w:rsidRDefault="00000000">
      <w:r>
        <w:rPr>
          <w:b/>
        </w:rPr>
        <w:t xml:space="preserve">What lives here: </w:t>
      </w:r>
    </w:p>
    <w:p w14:paraId="378551B7" w14:textId="77777777" w:rsidR="00DE6229" w:rsidRDefault="00000000">
      <w:pPr>
        <w:pStyle w:val="ListBullet"/>
      </w:pPr>
      <w:r>
        <w:t>Foreign keys on every real relationship, ON DELETE RESTRICT by default (never CASCADE on clinical or financial data — an accidental clinic delete must not silently erase patients).</w:t>
      </w:r>
    </w:p>
    <w:p w14:paraId="109CB4F9" w14:textId="77777777" w:rsidR="00DE6229" w:rsidRDefault="00000000">
      <w:pPr>
        <w:pStyle w:val="ListBullet"/>
      </w:pPr>
      <w:r>
        <w:t>Native PostgreSQL enum types on every status-shaped column (appointments.status, payments.status, patients.registration_status, ~20 more). Enums reject typos at write time and are self-documenting; adding a value is ALTER TYPE ... ADD VALUE.</w:t>
      </w:r>
    </w:p>
    <w:p w14:paraId="66D75F9D" w14:textId="77777777" w:rsidR="00DE6229" w:rsidRDefault="00000000">
      <w:pPr>
        <w:pStyle w:val="ListBullet"/>
      </w:pPr>
      <w:r>
        <w:t>A NOT NULL audit: confirm each nullable foreign key (e.g. sessions.doctor_id) is a deliberate 'not yet assigned' state, not an oversight.</w:t>
      </w:r>
    </w:p>
    <w:p w14:paraId="6F7BFBD9" w14:textId="77777777" w:rsidR="00DE6229" w:rsidRDefault="00000000">
      <w:r>
        <w:rPr>
          <w:b/>
        </w:rPr>
        <w:t xml:space="preserve">Cost / migration note: </w:t>
      </w:r>
      <w:r>
        <w:t>Medium on a live database (needs an orphan-row check per table, then NOT VALID + VALIDATE CONSTRAINT to avoid a full-table lock). Low in a fresh anava_v1 build — constraints are declared with the tables.</w:t>
      </w:r>
    </w:p>
    <w:p w14:paraId="0279B0AB" w14:textId="77777777" w:rsidR="00DE6229" w:rsidRDefault="00DE6229"/>
    <w:p w14:paraId="117B34EA" w14:textId="77777777" w:rsidR="00DE6229" w:rsidRDefault="00000000">
      <w:pPr>
        <w:pStyle w:val="Heading2"/>
      </w:pPr>
      <w:r>
        <w:t>Layer 3 — Access (roles and least privilege)</w:t>
      </w:r>
    </w:p>
    <w:p w14:paraId="3EA9AF9B" w14:textId="77777777" w:rsidR="00DE6229" w:rsidRDefault="00000000">
      <w:r>
        <w:rPr>
          <w:b/>
        </w:rPr>
        <w:t xml:space="preserve">What it is / the problem: </w:t>
      </w:r>
      <w:r>
        <w:t>One application role does everything today. Row-level security is genuinely enforced (the app role is not a superuser, does not bypass RLS, and tables are owned by a separate role with FORCE row security) — that part is sound. What is missing is role separation for non-application access.</w:t>
      </w:r>
    </w:p>
    <w:p w14:paraId="0EC29970" w14:textId="77777777" w:rsidR="00DE6229" w:rsidRDefault="00000000">
      <w:r>
        <w:rPr>
          <w:b/>
        </w:rPr>
        <w:t xml:space="preserve">Why it matters for 10 years: </w:t>
      </w:r>
      <w:r>
        <w:t>By year 5 someone will want a BI dashboard or a support tool. If no read-only role exists then, the shortcut is to hand out the application credentials — which is how a reporting query ends up able to write.</w:t>
      </w:r>
    </w:p>
    <w:p w14:paraId="5A852624" w14:textId="77777777" w:rsidR="00DE6229" w:rsidRDefault="00000000">
      <w:r>
        <w:rPr>
          <w:b/>
        </w:rPr>
        <w:t xml:space="preserve">What lives here: </w:t>
      </w:r>
    </w:p>
    <w:p w14:paraId="411525B8" w14:textId="77777777" w:rsidR="00DE6229" w:rsidRDefault="00000000">
      <w:pPr>
        <w:pStyle w:val="ListBullet"/>
      </w:pPr>
      <w:r>
        <w:t>anava_app — application role, RLS-scoped, read/write on core + compliance (unchanged behaviour).</w:t>
      </w:r>
    </w:p>
    <w:p w14:paraId="6354DA3C" w14:textId="77777777" w:rsidR="00DE6229" w:rsidRDefault="00000000">
      <w:pPr>
        <w:pStyle w:val="ListBullet"/>
      </w:pPr>
      <w:r>
        <w:t>anava_readonly — SELECT-only, for reporting/BI, no RLS bypass. Points at a read replica (Layer 8).</w:t>
      </w:r>
    </w:p>
    <w:p w14:paraId="49451A32" w14:textId="77777777" w:rsidR="00DE6229" w:rsidRDefault="00000000">
      <w:pPr>
        <w:pStyle w:val="ListBullet"/>
      </w:pPr>
      <w:r>
        <w:t>anava_compliance — SELECT/UPDATE on the compliance schema only, for erasure and portability tooling.</w:t>
      </w:r>
    </w:p>
    <w:p w14:paraId="7B0AC74D" w14:textId="77777777" w:rsidR="00DE6229" w:rsidRDefault="00000000">
      <w:pPr>
        <w:pStyle w:val="ListBullet"/>
      </w:pPr>
      <w:r>
        <w:t>anava_migrate — owns DDL/migrations, kept distinct from the runtime application role.</w:t>
      </w:r>
    </w:p>
    <w:p w14:paraId="678CDEB0" w14:textId="77777777" w:rsidR="00DE6229" w:rsidRDefault="00000000">
      <w:r>
        <w:rPr>
          <w:b/>
        </w:rPr>
        <w:t xml:space="preserve">Cost / migration note: </w:t>
      </w:r>
      <w:r>
        <w:t>Low. Role creation plus GRANTs. No data change.</w:t>
      </w:r>
    </w:p>
    <w:p w14:paraId="224800BF" w14:textId="77777777" w:rsidR="00DE6229" w:rsidRDefault="00DE6229"/>
    <w:p w14:paraId="3F516E10" w14:textId="77777777" w:rsidR="00DE6229" w:rsidRDefault="00000000">
      <w:pPr>
        <w:pStyle w:val="Heading2"/>
      </w:pPr>
      <w:r>
        <w:lastRenderedPageBreak/>
        <w:t>Layer 4 — Storage tiering (partitioning) — the load-bearing layer for speed</w:t>
      </w:r>
    </w:p>
    <w:p w14:paraId="31F82B03" w14:textId="77777777" w:rsidR="00DE6229" w:rsidRDefault="00000000">
      <w:r>
        <w:rPr>
          <w:b/>
        </w:rPr>
        <w:t xml:space="preserve">What it is / the problem: </w:t>
      </w:r>
      <w:r>
        <w:t>The append-only tables grow without bound. This is the specific mechanism by which a database that is fast today becomes the thing someone is paged about in year 6.</w:t>
      </w:r>
    </w:p>
    <w:p w14:paraId="1896EBB5" w14:textId="77777777" w:rsidR="00DE6229" w:rsidRDefault="00000000">
      <w:r>
        <w:rPr>
          <w:b/>
        </w:rPr>
        <w:t xml:space="preserve">Why it matters for 10 years: </w:t>
      </w:r>
      <w:r>
        <w:t>Native declarative range partitioning means a query only ever touches the partitions whose date range matches. Ten years of data queries like one year. Dropping an expired partition is instant — no DELETE scan, no bloat, no VACUUM storm — which is also exactly what the compliance retention purge needs.</w:t>
      </w:r>
    </w:p>
    <w:p w14:paraId="70DD3B85" w14:textId="77777777" w:rsidR="00DE6229" w:rsidRDefault="00000000">
      <w:r>
        <w:rPr>
          <w:b/>
        </w:rPr>
        <w:t xml:space="preserve">What lives here: </w:t>
      </w:r>
    </w:p>
    <w:p w14:paraId="72414311" w14:textId="77777777" w:rsidR="00DE6229" w:rsidRDefault="00000000">
      <w:pPr>
        <w:pStyle w:val="ListBullet"/>
      </w:pPr>
      <w:r>
        <w:t>activity_logs, audit_logs — monthly range on created_at / changed_at (highest-volume, append-only).</w:t>
      </w:r>
    </w:p>
    <w:p w14:paraId="4CB6D6CA" w14:textId="77777777" w:rsidR="00DE6229" w:rsidRDefault="00000000">
      <w:pPr>
        <w:pStyle w:val="ListBullet"/>
      </w:pPr>
      <w:r>
        <w:t>appointments, sessions, treatment_sessions — yearly range on the event date.</w:t>
      </w:r>
    </w:p>
    <w:p w14:paraId="1D5AE7B7" w14:textId="77777777" w:rsidR="00DE6229" w:rsidRDefault="00000000">
      <w:pPr>
        <w:pStyle w:val="ListBullet"/>
      </w:pPr>
      <w:r>
        <w:t>notifications — monthly range; expired months are dropped, not DELETEd (1-year retention).</w:t>
      </w:r>
    </w:p>
    <w:p w14:paraId="43781346" w14:textId="77777777" w:rsidR="00DE6229" w:rsidRDefault="00000000">
      <w:pPr>
        <w:pStyle w:val="ListBullet"/>
      </w:pPr>
      <w:r>
        <w:t>appointment_audit_logs — monthly range on changed_at.</w:t>
      </w:r>
    </w:p>
    <w:p w14:paraId="70883C51" w14:textId="77777777" w:rsidR="00DE6229" w:rsidRDefault="00000000">
      <w:pPr>
        <w:pStyle w:val="ListBullet"/>
      </w:pPr>
      <w:r>
        <w:t>prs_responses, anamnesis_responses — candidates, lower priority (bounded per patient).</w:t>
      </w:r>
    </w:p>
    <w:p w14:paraId="357EF21A" w14:textId="77777777" w:rsidR="00DE6229" w:rsidRDefault="00000000">
      <w:r>
        <w:rPr>
          <w:b/>
        </w:rPr>
        <w:t xml:space="preserve">Cost / migration note: </w:t>
      </w:r>
      <w:r>
        <w:t>Medium-High as a retrofit on populated tables (requires a table rewrite). Low-Medium in a fresh anava_v1 build — partitioned tables are created empty and fill correctly from day one. Existing BRIN indexes on the log tables become largely redundant once partitions are date-bounded.</w:t>
      </w:r>
    </w:p>
    <w:p w14:paraId="621AA0E4" w14:textId="77777777" w:rsidR="00DE6229" w:rsidRDefault="00DE6229"/>
    <w:p w14:paraId="329B35AD" w14:textId="77777777" w:rsidR="00DE6229" w:rsidRDefault="00000000">
      <w:pPr>
        <w:pStyle w:val="Heading2"/>
      </w:pPr>
      <w:r>
        <w:t>Layer 5 — Retention &amp; archival lifecycle</w:t>
      </w:r>
    </w:p>
    <w:p w14:paraId="07670871" w14:textId="77777777" w:rsidR="00DE6229" w:rsidRDefault="00000000">
      <w:r>
        <w:rPr>
          <w:b/>
        </w:rPr>
        <w:t xml:space="preserve">What it is / the problem: </w:t>
      </w:r>
      <w:r>
        <w:t>There is no mechanism today that enforces any retention period or executes any deletion. This layer is the operational lifecycle attached to Layer 4's partitions, and it is where the compliance workstream plugs in.</w:t>
      </w:r>
    </w:p>
    <w:p w14:paraId="16BB7B52" w14:textId="77777777" w:rsidR="00DE6229" w:rsidRDefault="00000000">
      <w:r>
        <w:rPr>
          <w:b/>
        </w:rPr>
        <w:t xml:space="preserve">Why it matters for 10 years: </w:t>
      </w:r>
      <w:r>
        <w:t>Compliance requires data to be deleted or anonymised on a schedule once its purpose is served. Partition-per-time-window makes this cheap and auditable instead of a risky mass-DELETE.</w:t>
      </w:r>
    </w:p>
    <w:p w14:paraId="3176A8F8" w14:textId="77777777" w:rsidR="00DE6229" w:rsidRDefault="00000000">
      <w:r>
        <w:rPr>
          <w:b/>
        </w:rPr>
        <w:t xml:space="preserve">What lives here: </w:t>
      </w:r>
    </w:p>
    <w:p w14:paraId="303D0411" w14:textId="77777777" w:rsidR="00DE6229" w:rsidRDefault="00000000">
      <w:pPr>
        <w:pStyle w:val="ListBullet"/>
      </w:pPr>
      <w:r>
        <w:t>Partitions past their retention window (7yr clinical / 8yr financial / 10yr compliance) are detached into the archive schema, then hard-dropped (Bucket 1) or their identifying columns anonymised in place (Bucket 2) per the compliance policy.</w:t>
      </w:r>
    </w:p>
    <w:p w14:paraId="2FD1CF14" w14:textId="77777777" w:rsidR="00DE6229" w:rsidRDefault="00000000">
      <w:pPr>
        <w:pStyle w:val="ListBullet"/>
      </w:pPr>
      <w:r>
        <w:t>The scheduled purge/anonymisation worker (net-new, per the Closure Schema Change Requirements doc) drives this. It operates on partitions, not row-by-row DELETEs.</w:t>
      </w:r>
    </w:p>
    <w:p w14:paraId="1F01F002" w14:textId="77777777" w:rsidR="00DE6229" w:rsidRDefault="00000000">
      <w:pPr>
        <w:pStyle w:val="ListBullet"/>
      </w:pPr>
      <w:r>
        <w:lastRenderedPageBreak/>
        <w:t>GATED on legal sign-off (Blocker 2). The partition structure (Layer 4) is built now; the retention semantics attach later.</w:t>
      </w:r>
    </w:p>
    <w:p w14:paraId="286149FB" w14:textId="77777777" w:rsidR="00DE6229" w:rsidRDefault="00000000">
      <w:r>
        <w:rPr>
          <w:b/>
        </w:rPr>
        <w:t xml:space="preserve">Cost / migration note: </w:t>
      </w:r>
      <w:r>
        <w:t>Medium, and gated. The compliance tables and the purge worker are the separate workstream; this layer is where they live.</w:t>
      </w:r>
    </w:p>
    <w:p w14:paraId="375FE013" w14:textId="77777777" w:rsidR="00DE6229" w:rsidRDefault="00DE6229"/>
    <w:p w14:paraId="74241416" w14:textId="77777777" w:rsidR="00DE6229" w:rsidRDefault="00000000">
      <w:pPr>
        <w:pStyle w:val="Heading2"/>
      </w:pPr>
      <w:r>
        <w:t>Layer 6 — Migration discipline</w:t>
      </w:r>
    </w:p>
    <w:p w14:paraId="2723925F" w14:textId="77777777" w:rsidR="00DE6229" w:rsidRDefault="00000000">
      <w:r>
        <w:rPr>
          <w:b/>
        </w:rPr>
        <w:t xml:space="preserve">What it is / the problem: </w:t>
      </w:r>
      <w:r>
        <w:t>The project already uses Alembic with 30 sequential, mostly single-purpose migrations — a good foundation. This layer codifies the rules that keep the next 200 migrations from producing downtime.</w:t>
      </w:r>
    </w:p>
    <w:p w14:paraId="1AB2FC17" w14:textId="77777777" w:rsidR="00DE6229" w:rsidRDefault="00000000">
      <w:r>
        <w:rPr>
          <w:b/>
        </w:rPr>
        <w:t xml:space="preserve">Why it matters for 10 years: </w:t>
      </w:r>
      <w:r>
        <w:t>The difference between a 10-year schema that can always be changed safely and one that ossifies is whether every change was expand-contract. This is cheap to adopt now and impossible to retrofit onto bad habits later.</w:t>
      </w:r>
    </w:p>
    <w:p w14:paraId="5F7DACF6" w14:textId="77777777" w:rsidR="00DE6229" w:rsidRDefault="00000000">
      <w:r>
        <w:rPr>
          <w:b/>
        </w:rPr>
        <w:t xml:space="preserve">What lives here: </w:t>
      </w:r>
    </w:p>
    <w:p w14:paraId="73613274" w14:textId="77777777" w:rsidR="00DE6229" w:rsidRDefault="00000000">
      <w:pPr>
        <w:pStyle w:val="ListBullet"/>
      </w:pPr>
      <w:r>
        <w:t>Expand-contract always: never rename or drop a column in the same migration that stops using it. Add new → dual-write → backfill → cut over → drop old, across separate deploys.</w:t>
      </w:r>
    </w:p>
    <w:p w14:paraId="72D98B37" w14:textId="77777777" w:rsidR="00DE6229" w:rsidRDefault="00000000">
      <w:pPr>
        <w:pStyle w:val="ListBullet"/>
      </w:pPr>
      <w:r>
        <w:t>One logical concern per migration (the current 0007-0023 RLS-patch granularity is correct — keep it).</w:t>
      </w:r>
    </w:p>
    <w:p w14:paraId="1EBEBF95" w14:textId="77777777" w:rsidR="00DE6229" w:rsidRDefault="00000000">
      <w:pPr>
        <w:pStyle w:val="ListBullet"/>
      </w:pPr>
      <w:r>
        <w:t>NOT VALID + VALIDATE CONSTRAINT for every new FK/CHECK on a populated table, as a standing house rule, so table-locking migrations never become routine.</w:t>
      </w:r>
    </w:p>
    <w:p w14:paraId="16C881AF" w14:textId="77777777" w:rsidR="00DE6229" w:rsidRDefault="00000000">
      <w:r>
        <w:rPr>
          <w:b/>
        </w:rPr>
        <w:t xml:space="preserve">Cost / migration note: </w:t>
      </w:r>
      <w:r>
        <w:t>Low. Process and convention, enforced in review.</w:t>
      </w:r>
    </w:p>
    <w:p w14:paraId="2523E626" w14:textId="77777777" w:rsidR="00DE6229" w:rsidRDefault="00DE6229"/>
    <w:p w14:paraId="6D4115E5" w14:textId="77777777" w:rsidR="00DE6229" w:rsidRDefault="00000000">
      <w:pPr>
        <w:pStyle w:val="Heading2"/>
      </w:pPr>
      <w:r>
        <w:t>Layer 7 — Observability</w:t>
      </w:r>
    </w:p>
    <w:p w14:paraId="74F1E714" w14:textId="77777777" w:rsidR="00DE6229" w:rsidRDefault="00000000">
      <w:r>
        <w:rPr>
          <w:b/>
        </w:rPr>
        <w:t xml:space="preserve">What it is / the problem: </w:t>
      </w:r>
      <w:r>
        <w:t>So that a year-6 problem is caught in year 6, not discovered in year 9 when a dashboard query starts timing out.</w:t>
      </w:r>
    </w:p>
    <w:p w14:paraId="7F3AD1E3" w14:textId="77777777" w:rsidR="00DE6229" w:rsidRDefault="00000000">
      <w:r>
        <w:rPr>
          <w:b/>
        </w:rPr>
        <w:t xml:space="preserve">Why it matters for 10 years: </w:t>
      </w:r>
      <w:r>
        <w:t>Slow decay is invisible without measurement. Query regressions, index bloat, and under-vacuumed tables all creep up over years and are far cheaper to fix early.</w:t>
      </w:r>
    </w:p>
    <w:p w14:paraId="0E92F9C3" w14:textId="77777777" w:rsidR="00DE6229" w:rsidRDefault="00000000">
      <w:r>
        <w:rPr>
          <w:b/>
        </w:rPr>
        <w:t xml:space="preserve">What lives here: </w:t>
      </w:r>
    </w:p>
    <w:p w14:paraId="378470E7" w14:textId="77777777" w:rsidR="00DE6229" w:rsidRDefault="00000000">
      <w:pPr>
        <w:pStyle w:val="ListBullet"/>
      </w:pPr>
      <w:r>
        <w:t>pg_stat_statements enabled and reviewed monthly — catches query regressions before they become incidents.</w:t>
      </w:r>
    </w:p>
    <w:p w14:paraId="6EEC1732" w14:textId="77777777" w:rsidR="00DE6229" w:rsidRDefault="00000000">
      <w:pPr>
        <w:pStyle w:val="ListBullet"/>
      </w:pPr>
      <w:r>
        <w:t>Per-table autovacuum tuning for high-churn tables (notifications, payments) — RDS defaults under-vacuum busy OLTP tables over years, leading to bloat only a locking VACUUM FULL fixes later.</w:t>
      </w:r>
    </w:p>
    <w:p w14:paraId="7242CBBA" w14:textId="77777777" w:rsidR="00DE6229" w:rsidRDefault="00000000">
      <w:pPr>
        <w:pStyle w:val="ListBullet"/>
      </w:pPr>
      <w:r>
        <w:lastRenderedPageBreak/>
        <w:t>Yearly index bloat and unused-index audit (the current partial-index usage is a good pattern; dead indexes from removed features silently tax every write).</w:t>
      </w:r>
    </w:p>
    <w:p w14:paraId="078E9470" w14:textId="77777777" w:rsidR="00DE6229" w:rsidRDefault="00000000">
      <w:pPr>
        <w:pStyle w:val="ListBullet"/>
      </w:pPr>
      <w:r>
        <w:t>RDS Performance Insights plus a slow-query-log threshold alarm.</w:t>
      </w:r>
    </w:p>
    <w:p w14:paraId="03E13587" w14:textId="77777777" w:rsidR="00DE6229" w:rsidRDefault="00000000">
      <w:r>
        <w:rPr>
          <w:b/>
        </w:rPr>
        <w:t xml:space="preserve">Cost / migration note: </w:t>
      </w:r>
      <w:r>
        <w:t>Low ongoing. Mostly configuration and a recurring review.</w:t>
      </w:r>
    </w:p>
    <w:p w14:paraId="71CF2F4B" w14:textId="77777777" w:rsidR="00DE6229" w:rsidRDefault="00DE6229"/>
    <w:p w14:paraId="34563361" w14:textId="77777777" w:rsidR="00DE6229" w:rsidRDefault="00000000">
      <w:pPr>
        <w:pStyle w:val="Heading2"/>
      </w:pPr>
      <w:r>
        <w:t>Layer 8 — Durability &amp; disaster recovery</w:t>
      </w:r>
    </w:p>
    <w:p w14:paraId="69FDCFB3" w14:textId="77777777" w:rsidR="00DE6229" w:rsidRDefault="00000000">
      <w:r>
        <w:rPr>
          <w:b/>
        </w:rPr>
        <w:t xml:space="preserve">What it is / the problem: </w:t>
      </w:r>
      <w:r>
        <w:t>Beyond the 35-day RDS automated-backup default.</w:t>
      </w:r>
    </w:p>
    <w:p w14:paraId="49160076" w14:textId="77777777" w:rsidR="00DE6229" w:rsidRDefault="00000000">
      <w:r>
        <w:rPr>
          <w:b/>
        </w:rPr>
        <w:t xml:space="preserve">Why it matters for 10 years: </w:t>
      </w:r>
      <w:r>
        <w:t>At year 5+ the person who configured backups may be gone. A backup nobody has restored from is a hope, not a plan.</w:t>
      </w:r>
    </w:p>
    <w:p w14:paraId="6C1C8110" w14:textId="77777777" w:rsidR="00DE6229" w:rsidRDefault="00000000">
      <w:r>
        <w:rPr>
          <w:b/>
        </w:rPr>
        <w:t xml:space="preserve">What lives here: </w:t>
      </w:r>
    </w:p>
    <w:p w14:paraId="1C90269F" w14:textId="77777777" w:rsidR="00DE6229" w:rsidRDefault="00000000">
      <w:pPr>
        <w:pStyle w:val="ListBullet"/>
      </w:pPr>
      <w:r>
        <w:t>Cross-region read replica once patient volume justifies it — also serves as the anava_readonly target (Layer 3), keeping reporting load off the primary.</w:t>
      </w:r>
    </w:p>
    <w:p w14:paraId="61265323" w14:textId="77777777" w:rsidR="00DE6229" w:rsidRDefault="00000000">
      <w:pPr>
        <w:pStyle w:val="ListBullet"/>
      </w:pPr>
      <w:r>
        <w:t>Point-in-time recovery tested annually via an actual restore drill.</w:t>
      </w:r>
    </w:p>
    <w:p w14:paraId="16505A75" w14:textId="77777777" w:rsidR="00DE6229" w:rsidRDefault="00000000">
      <w:pPr>
        <w:pStyle w:val="ListBullet"/>
      </w:pPr>
      <w:r>
        <w:t>Manual/on-demand snapshots tagged with an intended deletion date at creation (also a compliance requirement, Section 7.3 of the policy).</w:t>
      </w:r>
    </w:p>
    <w:p w14:paraId="23AAEDD5" w14:textId="77777777" w:rsidR="00DE6229" w:rsidRDefault="00000000">
      <w:r>
        <w:rPr>
          <w:b/>
        </w:rPr>
        <w:t xml:space="preserve">Cost / migration note: </w:t>
      </w:r>
      <w:r>
        <w:t>Low-Medium. Replica adds infrastructure cost; restore drills are process.</w:t>
      </w:r>
    </w:p>
    <w:p w14:paraId="6F72C81D" w14:textId="77777777" w:rsidR="00DE6229" w:rsidRDefault="00DE6229"/>
    <w:p w14:paraId="2173E22B" w14:textId="77777777" w:rsidR="00DE6229" w:rsidRDefault="00000000">
      <w:r>
        <w:br w:type="page"/>
      </w:r>
    </w:p>
    <w:p w14:paraId="75B8592B" w14:textId="77777777" w:rsidR="00DE6229" w:rsidRDefault="00000000">
      <w:pPr>
        <w:pStyle w:val="Heading1"/>
      </w:pPr>
      <w:r>
        <w:lastRenderedPageBreak/>
        <w:t>5. Table-to-Layer Mapping (all 61 tables)</w:t>
      </w:r>
    </w:p>
    <w:p w14:paraId="3C41C6C0" w14:textId="77777777" w:rsidR="00DE6229" w:rsidRDefault="00000000">
      <w:r>
        <w:t>Every existing table assigned to a schema. The Partition and Integrity-priority columns flag which tables Layer 4 and Layer 2 touch first. Future compliance tables (Section 6) are listed separately.</w:t>
      </w:r>
    </w:p>
    <w:tbl>
      <w:tblPr>
        <w:tblStyle w:val="LightGrid-Accent1"/>
        <w:tblW w:w="0" w:type="auto"/>
        <w:tblLook w:val="04A0" w:firstRow="1" w:lastRow="0" w:firstColumn="1" w:lastColumn="0" w:noHBand="0" w:noVBand="1"/>
      </w:tblPr>
      <w:tblGrid>
        <w:gridCol w:w="3051"/>
        <w:gridCol w:w="1898"/>
        <w:gridCol w:w="1858"/>
        <w:gridCol w:w="2049"/>
      </w:tblGrid>
      <w:tr w:rsidR="00DE6229" w14:paraId="6F89662C" w14:textId="77777777" w:rsidTr="00DE6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727E9B" w14:textId="77777777" w:rsidR="00DE6229" w:rsidRDefault="00000000">
            <w:r>
              <w:t>Table</w:t>
            </w:r>
          </w:p>
        </w:tc>
        <w:tc>
          <w:tcPr>
            <w:tcW w:w="2160" w:type="dxa"/>
          </w:tcPr>
          <w:p w14:paraId="3D6FC565" w14:textId="77777777" w:rsidR="00DE6229" w:rsidRDefault="00000000">
            <w:pPr>
              <w:cnfStyle w:val="100000000000" w:firstRow="1" w:lastRow="0" w:firstColumn="0" w:lastColumn="0" w:oddVBand="0" w:evenVBand="0" w:oddHBand="0" w:evenHBand="0" w:firstRowFirstColumn="0" w:firstRowLastColumn="0" w:lastRowFirstColumn="0" w:lastRowLastColumn="0"/>
            </w:pPr>
            <w:r>
              <w:t>Schema</w:t>
            </w:r>
          </w:p>
        </w:tc>
        <w:tc>
          <w:tcPr>
            <w:tcW w:w="2160" w:type="dxa"/>
          </w:tcPr>
          <w:p w14:paraId="03F4794E" w14:textId="77777777" w:rsidR="00DE6229" w:rsidRDefault="00000000">
            <w:pPr>
              <w:cnfStyle w:val="100000000000" w:firstRow="1" w:lastRow="0" w:firstColumn="0" w:lastColumn="0" w:oddVBand="0" w:evenVBand="0" w:oddHBand="0" w:evenHBand="0" w:firstRowFirstColumn="0" w:firstRowLastColumn="0" w:lastRowFirstColumn="0" w:lastRowLastColumn="0"/>
            </w:pPr>
            <w:r>
              <w:t>Partition (L4)</w:t>
            </w:r>
          </w:p>
        </w:tc>
        <w:tc>
          <w:tcPr>
            <w:tcW w:w="2160" w:type="dxa"/>
          </w:tcPr>
          <w:p w14:paraId="54DE4EFF" w14:textId="77777777" w:rsidR="00DE6229" w:rsidRDefault="00000000">
            <w:pPr>
              <w:cnfStyle w:val="100000000000" w:firstRow="1" w:lastRow="0" w:firstColumn="0" w:lastColumn="0" w:oddVBand="0" w:evenVBand="0" w:oddHBand="0" w:evenHBand="0" w:firstRowFirstColumn="0" w:firstRowLastColumn="0" w:lastRowFirstColumn="0" w:lastRowLastColumn="0"/>
            </w:pPr>
            <w:r>
              <w:t>Notes</w:t>
            </w:r>
          </w:p>
        </w:tc>
      </w:tr>
      <w:tr w:rsidR="00DE6229" w14:paraId="0CC2C08D"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21A883" w14:textId="77777777" w:rsidR="00DE6229" w:rsidRDefault="00000000">
            <w:r>
              <w:t>profiles</w:t>
            </w:r>
          </w:p>
        </w:tc>
        <w:tc>
          <w:tcPr>
            <w:tcW w:w="2160" w:type="dxa"/>
          </w:tcPr>
          <w:p w14:paraId="774A6D3F"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7D4E0AE9"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60584C1" w14:textId="77777777" w:rsidR="00DE6229" w:rsidRDefault="00000000">
            <w:pPr>
              <w:cnfStyle w:val="000000100000" w:firstRow="0" w:lastRow="0" w:firstColumn="0" w:lastColumn="0" w:oddVBand="0" w:evenVBand="0" w:oddHBand="1" w:evenHBand="0" w:firstRowFirstColumn="0" w:firstRowLastColumn="0" w:lastRowFirstColumn="0" w:lastRowLastColumn="0"/>
            </w:pPr>
            <w:r>
              <w:t>Identity root; anonymisation target (Layer 5)</w:t>
            </w:r>
          </w:p>
        </w:tc>
      </w:tr>
      <w:tr w:rsidR="00DE6229" w14:paraId="69304BA9"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618BEF" w14:textId="77777777" w:rsidR="00DE6229" w:rsidRDefault="00000000">
            <w:r>
              <w:t>patients</w:t>
            </w:r>
          </w:p>
        </w:tc>
        <w:tc>
          <w:tcPr>
            <w:tcW w:w="2160" w:type="dxa"/>
          </w:tcPr>
          <w:p w14:paraId="074217D6"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0D990F36"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3E9535F" w14:textId="77777777" w:rsidR="00DE6229" w:rsidRDefault="00000000">
            <w:pPr>
              <w:cnfStyle w:val="000000010000" w:firstRow="0" w:lastRow="0" w:firstColumn="0" w:lastColumn="0" w:oddVBand="0" w:evenVBand="0" w:oddHBand="0" w:evenHBand="1" w:firstRowFirstColumn="0" w:firstRowLastColumn="0" w:lastRowFirstColumn="0" w:lastRowLastColumn="0"/>
            </w:pPr>
            <w:r>
              <w:t>Retention-clock owner; closure-state columns land here (Layer 5)</w:t>
            </w:r>
          </w:p>
        </w:tc>
      </w:tr>
      <w:tr w:rsidR="00DE6229" w14:paraId="3D8AC475"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D37EAA" w14:textId="77777777" w:rsidR="00DE6229" w:rsidRDefault="00000000">
            <w:r>
              <w:t>doctors</w:t>
            </w:r>
          </w:p>
        </w:tc>
        <w:tc>
          <w:tcPr>
            <w:tcW w:w="2160" w:type="dxa"/>
          </w:tcPr>
          <w:p w14:paraId="58AF2BA7"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532A9516"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3A64AA8"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4E6E0AAA"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9F838A" w14:textId="77777777" w:rsidR="00DE6229" w:rsidRDefault="00000000">
            <w:r>
              <w:t>clinical_assistants</w:t>
            </w:r>
          </w:p>
        </w:tc>
        <w:tc>
          <w:tcPr>
            <w:tcW w:w="2160" w:type="dxa"/>
          </w:tcPr>
          <w:p w14:paraId="75860019"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30BEBD6A"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0754894" w14:textId="77777777" w:rsidR="00DE6229" w:rsidRDefault="00DE6229">
            <w:pPr>
              <w:cnfStyle w:val="000000010000" w:firstRow="0" w:lastRow="0" w:firstColumn="0" w:lastColumn="0" w:oddVBand="0" w:evenVBand="0" w:oddHBand="0" w:evenHBand="1" w:firstRowFirstColumn="0" w:firstRowLastColumn="0" w:lastRowFirstColumn="0" w:lastRowLastColumn="0"/>
            </w:pPr>
          </w:p>
        </w:tc>
      </w:tr>
      <w:tr w:rsidR="00DE6229" w14:paraId="2DC1E27F"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9BFEBC" w14:textId="77777777" w:rsidR="00DE6229" w:rsidRDefault="00000000">
            <w:r>
              <w:t>receptionists</w:t>
            </w:r>
          </w:p>
        </w:tc>
        <w:tc>
          <w:tcPr>
            <w:tcW w:w="2160" w:type="dxa"/>
          </w:tcPr>
          <w:p w14:paraId="71887079"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1A4FCDAB"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291C868"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2535F116"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1AFC22" w14:textId="77777777" w:rsidR="00DE6229" w:rsidRDefault="00000000">
            <w:r>
              <w:t>admins</w:t>
            </w:r>
          </w:p>
        </w:tc>
        <w:tc>
          <w:tcPr>
            <w:tcW w:w="2160" w:type="dxa"/>
          </w:tcPr>
          <w:p w14:paraId="60474E3C"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2A91423F"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1A72B54" w14:textId="77777777" w:rsidR="00DE6229" w:rsidRDefault="00000000">
            <w:pPr>
              <w:cnfStyle w:val="000000010000" w:firstRow="0" w:lastRow="0" w:firstColumn="0" w:lastColumn="0" w:oddVBand="0" w:evenVBand="0" w:oddHBand="0" w:evenHBand="1" w:firstRowFirstColumn="0" w:firstRowLastColumn="0" w:lastRowFirstColumn="0" w:lastRowLastColumn="0"/>
            </w:pPr>
            <w:r>
              <w:t>grievance_officer type added later (Layer 5)</w:t>
            </w:r>
          </w:p>
        </w:tc>
      </w:tr>
      <w:tr w:rsidR="00DE6229" w14:paraId="4D276A0C"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6E9BFB" w14:textId="77777777" w:rsidR="00DE6229" w:rsidRDefault="00000000">
            <w:r>
              <w:t>clinics</w:t>
            </w:r>
          </w:p>
        </w:tc>
        <w:tc>
          <w:tcPr>
            <w:tcW w:w="2160" w:type="dxa"/>
          </w:tcPr>
          <w:p w14:paraId="2B62AE7F"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03CD0E77"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CB093EA" w14:textId="77777777" w:rsidR="00DE6229" w:rsidRDefault="00000000">
            <w:pPr>
              <w:cnfStyle w:val="000000100000" w:firstRow="0" w:lastRow="0" w:firstColumn="0" w:lastColumn="0" w:oddVBand="0" w:evenVBand="0" w:oddHBand="1" w:evenHBand="0" w:firstRowFirstColumn="0" w:firstRowLastColumn="0" w:lastRowFirstColumn="0" w:lastRowLastColumn="0"/>
            </w:pPr>
            <w:r>
              <w:t>Never deleted; FK anchor</w:t>
            </w:r>
          </w:p>
        </w:tc>
      </w:tr>
      <w:tr w:rsidR="00DE6229" w14:paraId="28310433"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1C39E1" w14:textId="77777777" w:rsidR="00DE6229" w:rsidRDefault="00000000">
            <w:r>
              <w:t>regions</w:t>
            </w:r>
          </w:p>
        </w:tc>
        <w:tc>
          <w:tcPr>
            <w:tcW w:w="2160" w:type="dxa"/>
          </w:tcPr>
          <w:p w14:paraId="61E55FAD"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37946244"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28A8C31" w14:textId="77777777" w:rsidR="00DE6229" w:rsidRDefault="00DE6229">
            <w:pPr>
              <w:cnfStyle w:val="000000010000" w:firstRow="0" w:lastRow="0" w:firstColumn="0" w:lastColumn="0" w:oddVBand="0" w:evenVBand="0" w:oddHBand="0" w:evenHBand="1" w:firstRowFirstColumn="0" w:firstRowLastColumn="0" w:lastRowFirstColumn="0" w:lastRowLastColumn="0"/>
            </w:pPr>
          </w:p>
        </w:tc>
      </w:tr>
      <w:tr w:rsidR="00DE6229" w14:paraId="4E338183"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7AEE8B" w14:textId="77777777" w:rsidR="00DE6229" w:rsidRDefault="00000000">
            <w:r>
              <w:t>clinic_staff_assignments</w:t>
            </w:r>
          </w:p>
        </w:tc>
        <w:tc>
          <w:tcPr>
            <w:tcW w:w="2160" w:type="dxa"/>
          </w:tcPr>
          <w:p w14:paraId="361E386B"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40672654"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0364CF7"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3DE42D11"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5A01" w14:textId="77777777" w:rsidR="00DE6229" w:rsidRDefault="00000000">
            <w:r>
              <w:t>ca_doctor_assignments</w:t>
            </w:r>
          </w:p>
        </w:tc>
        <w:tc>
          <w:tcPr>
            <w:tcW w:w="2160" w:type="dxa"/>
          </w:tcPr>
          <w:p w14:paraId="7415A2EA"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7D17E0F1"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81D7A29" w14:textId="77777777" w:rsidR="00DE6229" w:rsidRDefault="00000000">
            <w:pPr>
              <w:cnfStyle w:val="000000010000" w:firstRow="0" w:lastRow="0" w:firstColumn="0" w:lastColumn="0" w:oddVBand="0" w:evenVBand="0" w:oddHBand="0" w:evenHBand="1" w:firstRowFirstColumn="0" w:firstRowLastColumn="0" w:lastRowFirstColumn="0" w:lastRowLastColumn="0"/>
            </w:pPr>
            <w:r>
              <w:t>RLS currently OFF — enable in v1</w:t>
            </w:r>
          </w:p>
        </w:tc>
      </w:tr>
      <w:tr w:rsidR="00DE6229" w14:paraId="40EEC57A"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A1CB86" w14:textId="77777777" w:rsidR="00DE6229" w:rsidRDefault="00000000">
            <w:r>
              <w:t>doctor_patient_assignments</w:t>
            </w:r>
          </w:p>
        </w:tc>
        <w:tc>
          <w:tcPr>
            <w:tcW w:w="2160" w:type="dxa"/>
          </w:tcPr>
          <w:p w14:paraId="5B09D887"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23C48ED5"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6A84869"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332109F2"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1AB14A" w14:textId="77777777" w:rsidR="00DE6229" w:rsidRDefault="00000000">
            <w:r>
              <w:t>doctor_weekly_schedules</w:t>
            </w:r>
          </w:p>
        </w:tc>
        <w:tc>
          <w:tcPr>
            <w:tcW w:w="2160" w:type="dxa"/>
          </w:tcPr>
          <w:p w14:paraId="521020CC"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4FC725CC"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601EE55" w14:textId="77777777" w:rsidR="00DE6229" w:rsidRDefault="00DE6229">
            <w:pPr>
              <w:cnfStyle w:val="000000010000" w:firstRow="0" w:lastRow="0" w:firstColumn="0" w:lastColumn="0" w:oddVBand="0" w:evenVBand="0" w:oddHBand="0" w:evenHBand="1" w:firstRowFirstColumn="0" w:firstRowLastColumn="0" w:lastRowFirstColumn="0" w:lastRowLastColumn="0"/>
            </w:pPr>
          </w:p>
        </w:tc>
      </w:tr>
      <w:tr w:rsidR="00DE6229" w14:paraId="5E942FCF"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87654E" w14:textId="77777777" w:rsidR="00DE6229" w:rsidRDefault="00000000">
            <w:r>
              <w:t>doctor_schedule_overrides</w:t>
            </w:r>
          </w:p>
        </w:tc>
        <w:tc>
          <w:tcPr>
            <w:tcW w:w="2160" w:type="dxa"/>
          </w:tcPr>
          <w:p w14:paraId="06461364"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4962A3B1"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82E9843"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0D5EB6F9"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FB007F" w14:textId="77777777" w:rsidR="00DE6229" w:rsidRDefault="00000000">
            <w:r>
              <w:t>appointments</w:t>
            </w:r>
          </w:p>
        </w:tc>
        <w:tc>
          <w:tcPr>
            <w:tcW w:w="2160" w:type="dxa"/>
          </w:tcPr>
          <w:p w14:paraId="394F0258"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2719CDB3" w14:textId="77777777" w:rsidR="00DE6229" w:rsidRDefault="00000000">
            <w:pPr>
              <w:cnfStyle w:val="000000010000" w:firstRow="0" w:lastRow="0" w:firstColumn="0" w:lastColumn="0" w:oddVBand="0" w:evenVBand="0" w:oddHBand="0" w:evenHBand="1" w:firstRowFirstColumn="0" w:firstRowLastColumn="0" w:lastRowFirstColumn="0" w:lastRowLastColumn="0"/>
            </w:pPr>
            <w:r>
              <w:t>yearly</w:t>
            </w:r>
          </w:p>
        </w:tc>
        <w:tc>
          <w:tcPr>
            <w:tcW w:w="2160" w:type="dxa"/>
          </w:tcPr>
          <w:p w14:paraId="23F51CCD" w14:textId="77777777" w:rsidR="00DE6229" w:rsidRDefault="00000000">
            <w:pPr>
              <w:cnfStyle w:val="000000010000" w:firstRow="0" w:lastRow="0" w:firstColumn="0" w:lastColumn="0" w:oddVBand="0" w:evenVBand="0" w:oddHBand="0" w:evenHBand="1" w:firstRowFirstColumn="0" w:firstRowLastColumn="0" w:lastRowFirstColumn="0" w:lastRowLastColumn="0"/>
            </w:pPr>
            <w:r>
              <w:t>High-volume, append-only</w:t>
            </w:r>
          </w:p>
        </w:tc>
      </w:tr>
      <w:tr w:rsidR="00DE6229" w14:paraId="450F4850"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9E216A" w14:textId="77777777" w:rsidR="00DE6229" w:rsidRDefault="00000000">
            <w:r>
              <w:t>appointment_requests</w:t>
            </w:r>
          </w:p>
        </w:tc>
        <w:tc>
          <w:tcPr>
            <w:tcW w:w="2160" w:type="dxa"/>
          </w:tcPr>
          <w:p w14:paraId="1E748067"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766EBF4A"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1AD6BDA"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2BA9E3D9"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55EECA" w14:textId="77777777" w:rsidR="00DE6229" w:rsidRDefault="00000000">
            <w:r>
              <w:t>appointment_audit_logs</w:t>
            </w:r>
          </w:p>
        </w:tc>
        <w:tc>
          <w:tcPr>
            <w:tcW w:w="2160" w:type="dxa"/>
          </w:tcPr>
          <w:p w14:paraId="59B6B165"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50C04CD4" w14:textId="77777777" w:rsidR="00DE6229" w:rsidRDefault="00000000">
            <w:pPr>
              <w:cnfStyle w:val="000000010000" w:firstRow="0" w:lastRow="0" w:firstColumn="0" w:lastColumn="0" w:oddVBand="0" w:evenVBand="0" w:oddHBand="0" w:evenHBand="1" w:firstRowFirstColumn="0" w:firstRowLastColumn="0" w:lastRowFirstColumn="0" w:lastRowLastColumn="0"/>
            </w:pPr>
            <w:r>
              <w:t>monthly</w:t>
            </w:r>
          </w:p>
        </w:tc>
        <w:tc>
          <w:tcPr>
            <w:tcW w:w="2160" w:type="dxa"/>
          </w:tcPr>
          <w:p w14:paraId="7C503262" w14:textId="77777777" w:rsidR="00DE6229" w:rsidRDefault="00000000">
            <w:pPr>
              <w:cnfStyle w:val="000000010000" w:firstRow="0" w:lastRow="0" w:firstColumn="0" w:lastColumn="0" w:oddVBand="0" w:evenVBand="0" w:oddHBand="0" w:evenHBand="1" w:firstRowFirstColumn="0" w:firstRowLastColumn="0" w:lastRowFirstColumn="0" w:lastRowLastColumn="0"/>
            </w:pPr>
            <w:r>
              <w:t>Audit trail; on changed_at</w:t>
            </w:r>
          </w:p>
        </w:tc>
      </w:tr>
      <w:tr w:rsidR="00DE6229" w14:paraId="49B9BD8C"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96B441" w14:textId="77777777" w:rsidR="00DE6229" w:rsidRDefault="00000000">
            <w:r>
              <w:t>sessions</w:t>
            </w:r>
          </w:p>
        </w:tc>
        <w:tc>
          <w:tcPr>
            <w:tcW w:w="2160" w:type="dxa"/>
          </w:tcPr>
          <w:p w14:paraId="438DF2D6"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37A9D1B0" w14:textId="77777777" w:rsidR="00DE6229" w:rsidRDefault="00000000">
            <w:pPr>
              <w:cnfStyle w:val="000000100000" w:firstRow="0" w:lastRow="0" w:firstColumn="0" w:lastColumn="0" w:oddVBand="0" w:evenVBand="0" w:oddHBand="1" w:evenHBand="0" w:firstRowFirstColumn="0" w:firstRowLastColumn="0" w:lastRowFirstColumn="0" w:lastRowLastColumn="0"/>
            </w:pPr>
            <w:r>
              <w:t>yearly</w:t>
            </w:r>
          </w:p>
        </w:tc>
        <w:tc>
          <w:tcPr>
            <w:tcW w:w="2160" w:type="dxa"/>
          </w:tcPr>
          <w:p w14:paraId="08DE0D88" w14:textId="77777777" w:rsidR="00DE6229" w:rsidRDefault="00000000">
            <w:pPr>
              <w:cnfStyle w:val="000000100000" w:firstRow="0" w:lastRow="0" w:firstColumn="0" w:lastColumn="0" w:oddVBand="0" w:evenVBand="0" w:oddHBand="1" w:evenHBand="0" w:firstRowFirstColumn="0" w:firstRowLastColumn="0" w:lastRowFirstColumn="0" w:lastRowLastColumn="0"/>
            </w:pPr>
            <w:r>
              <w:t>High-volume, append-only</w:t>
            </w:r>
          </w:p>
        </w:tc>
      </w:tr>
      <w:tr w:rsidR="00DE6229" w14:paraId="2A5EF785"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A984F7" w14:textId="77777777" w:rsidR="00DE6229" w:rsidRDefault="00000000">
            <w:r>
              <w:t>treatment_cycles</w:t>
            </w:r>
          </w:p>
        </w:tc>
        <w:tc>
          <w:tcPr>
            <w:tcW w:w="2160" w:type="dxa"/>
          </w:tcPr>
          <w:p w14:paraId="035EE129"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69F084E2"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B26CBA3" w14:textId="77777777" w:rsidR="00DE6229" w:rsidRDefault="00000000">
            <w:pPr>
              <w:cnfStyle w:val="000000010000" w:firstRow="0" w:lastRow="0" w:firstColumn="0" w:lastColumn="0" w:oddVBand="0" w:evenVBand="0" w:oddHBand="0" w:evenHBand="1" w:firstRowFirstColumn="0" w:firstRowLastColumn="0" w:lastRowFirstColumn="0" w:lastRowLastColumn="0"/>
            </w:pPr>
            <w:r>
              <w:t>Flow Pivot fork — see Blocker 1</w:t>
            </w:r>
          </w:p>
        </w:tc>
      </w:tr>
      <w:tr w:rsidR="00DE6229" w14:paraId="2DD1E3DC"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4A71DA" w14:textId="77777777" w:rsidR="00DE6229" w:rsidRDefault="00000000">
            <w:r>
              <w:t>treatment_plans</w:t>
            </w:r>
          </w:p>
        </w:tc>
        <w:tc>
          <w:tcPr>
            <w:tcW w:w="2160" w:type="dxa"/>
          </w:tcPr>
          <w:p w14:paraId="7AFE6513"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0C78828A"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634ACB2"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4BEC1DB2"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1F356D" w14:textId="77777777" w:rsidR="00DE6229" w:rsidRDefault="00000000">
            <w:r>
              <w:t>treatment_sessions</w:t>
            </w:r>
          </w:p>
        </w:tc>
        <w:tc>
          <w:tcPr>
            <w:tcW w:w="2160" w:type="dxa"/>
          </w:tcPr>
          <w:p w14:paraId="105193E2"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24A2ED31" w14:textId="77777777" w:rsidR="00DE6229" w:rsidRDefault="00000000">
            <w:pPr>
              <w:cnfStyle w:val="000000010000" w:firstRow="0" w:lastRow="0" w:firstColumn="0" w:lastColumn="0" w:oddVBand="0" w:evenVBand="0" w:oddHBand="0" w:evenHBand="1" w:firstRowFirstColumn="0" w:firstRowLastColumn="0" w:lastRowFirstColumn="0" w:lastRowLastColumn="0"/>
            </w:pPr>
            <w:r>
              <w:t>yearly</w:t>
            </w:r>
          </w:p>
        </w:tc>
        <w:tc>
          <w:tcPr>
            <w:tcW w:w="2160" w:type="dxa"/>
          </w:tcPr>
          <w:p w14:paraId="19722B19" w14:textId="77777777" w:rsidR="00DE6229" w:rsidRDefault="00000000">
            <w:pPr>
              <w:cnfStyle w:val="000000010000" w:firstRow="0" w:lastRow="0" w:firstColumn="0" w:lastColumn="0" w:oddVBand="0" w:evenVBand="0" w:oddHBand="0" w:evenHBand="1" w:firstRowFirstColumn="0" w:firstRowLastColumn="0" w:lastRowFirstColumn="0" w:lastRowLastColumn="0"/>
            </w:pPr>
            <w:r>
              <w:t>Flow Pivot fork — see Blocker 1</w:t>
            </w:r>
          </w:p>
        </w:tc>
      </w:tr>
      <w:tr w:rsidR="00DE6229" w14:paraId="12B5913D"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3C17AC" w14:textId="77777777" w:rsidR="00DE6229" w:rsidRDefault="00000000">
            <w:r>
              <w:t>assessment_protocol_requests</w:t>
            </w:r>
          </w:p>
        </w:tc>
        <w:tc>
          <w:tcPr>
            <w:tcW w:w="2160" w:type="dxa"/>
          </w:tcPr>
          <w:p w14:paraId="6864EB70"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02A90C3F"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A477739"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7C69D4D6"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919F3C" w14:textId="77777777" w:rsidR="00DE6229" w:rsidRDefault="00000000">
            <w:r>
              <w:t>device_assignments</w:t>
            </w:r>
          </w:p>
        </w:tc>
        <w:tc>
          <w:tcPr>
            <w:tcW w:w="2160" w:type="dxa"/>
          </w:tcPr>
          <w:p w14:paraId="1F96A4FA"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7143DF09"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3D062C4" w14:textId="77777777" w:rsidR="00DE6229" w:rsidRDefault="00DE6229">
            <w:pPr>
              <w:cnfStyle w:val="000000010000" w:firstRow="0" w:lastRow="0" w:firstColumn="0" w:lastColumn="0" w:oddVBand="0" w:evenVBand="0" w:oddHBand="0" w:evenHBand="1" w:firstRowFirstColumn="0" w:firstRowLastColumn="0" w:lastRowFirstColumn="0" w:lastRowLastColumn="0"/>
            </w:pPr>
          </w:p>
        </w:tc>
      </w:tr>
      <w:tr w:rsidR="00DE6229" w14:paraId="526BC8A5"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171B91" w14:textId="77777777" w:rsidR="00DE6229" w:rsidRDefault="00000000">
            <w:r>
              <w:t>patient_disease_selection</w:t>
            </w:r>
          </w:p>
        </w:tc>
        <w:tc>
          <w:tcPr>
            <w:tcW w:w="2160" w:type="dxa"/>
          </w:tcPr>
          <w:p w14:paraId="28894D0A"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365D376D"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1242352"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7A52DE82"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FD4334" w14:textId="77777777" w:rsidR="00DE6229" w:rsidRDefault="00000000">
            <w:r>
              <w:t>patient_clinic_transfers</w:t>
            </w:r>
          </w:p>
        </w:tc>
        <w:tc>
          <w:tcPr>
            <w:tcW w:w="2160" w:type="dxa"/>
          </w:tcPr>
          <w:p w14:paraId="0E07CC87"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5C3E1814"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52EAA94" w14:textId="77777777" w:rsidR="00DE6229" w:rsidRDefault="00000000">
            <w:pPr>
              <w:cnfStyle w:val="000000010000" w:firstRow="0" w:lastRow="0" w:firstColumn="0" w:lastColumn="0" w:oddVBand="0" w:evenVBand="0" w:oddHBand="0" w:evenHBand="1" w:firstRowFirstColumn="0" w:firstRowLastColumn="0" w:lastRowFirstColumn="0" w:lastRowLastColumn="0"/>
            </w:pPr>
            <w:r>
              <w:t>Compliance-relevant, operational</w:t>
            </w:r>
          </w:p>
        </w:tc>
      </w:tr>
      <w:tr w:rsidR="00DE6229" w14:paraId="3527A8AD"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2F0CE6" w14:textId="77777777" w:rsidR="00DE6229" w:rsidRDefault="00000000">
            <w:r>
              <w:lastRenderedPageBreak/>
              <w:t>anamnesis_assessments</w:t>
            </w:r>
          </w:p>
        </w:tc>
        <w:tc>
          <w:tcPr>
            <w:tcW w:w="2160" w:type="dxa"/>
          </w:tcPr>
          <w:p w14:paraId="200EAE25"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6E3B8C11"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7D796514"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3F581D33"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7ECACA" w14:textId="77777777" w:rsidR="00DE6229" w:rsidRDefault="00000000">
            <w:r>
              <w:t>anamnesis_responses</w:t>
            </w:r>
          </w:p>
        </w:tc>
        <w:tc>
          <w:tcPr>
            <w:tcW w:w="2160" w:type="dxa"/>
          </w:tcPr>
          <w:p w14:paraId="14368E56"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0BFF42C0" w14:textId="77777777" w:rsidR="00DE6229" w:rsidRDefault="00000000">
            <w:pPr>
              <w:cnfStyle w:val="000000010000" w:firstRow="0" w:lastRow="0" w:firstColumn="0" w:lastColumn="0" w:oddVBand="0" w:evenVBand="0" w:oddHBand="0" w:evenHBand="1" w:firstRowFirstColumn="0" w:firstRowLastColumn="0" w:lastRowFirstColumn="0" w:lastRowLastColumn="0"/>
            </w:pPr>
            <w:r>
              <w:t>candidate</w:t>
            </w:r>
          </w:p>
        </w:tc>
        <w:tc>
          <w:tcPr>
            <w:tcW w:w="2160" w:type="dxa"/>
          </w:tcPr>
          <w:p w14:paraId="5AB07A7E" w14:textId="77777777" w:rsidR="00DE6229" w:rsidRDefault="00000000">
            <w:pPr>
              <w:cnfStyle w:val="000000010000" w:firstRow="0" w:lastRow="0" w:firstColumn="0" w:lastColumn="0" w:oddVBand="0" w:evenVBand="0" w:oddHBand="0" w:evenHBand="1" w:firstRowFirstColumn="0" w:firstRowLastColumn="0" w:lastRowFirstColumn="0" w:lastRowLastColumn="0"/>
            </w:pPr>
            <w:r>
              <w:t>Bounded per patient</w:t>
            </w:r>
          </w:p>
        </w:tc>
      </w:tr>
      <w:tr w:rsidR="00DE6229" w14:paraId="1CAC37E5"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64F6CF" w14:textId="77777777" w:rsidR="00DE6229" w:rsidRDefault="00000000">
            <w:r>
              <w:t>prs_assessment_instances</w:t>
            </w:r>
          </w:p>
        </w:tc>
        <w:tc>
          <w:tcPr>
            <w:tcW w:w="2160" w:type="dxa"/>
          </w:tcPr>
          <w:p w14:paraId="665D2F66"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1FF051D8"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180939F"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169D3883"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E90CB5" w14:textId="77777777" w:rsidR="00DE6229" w:rsidRDefault="00000000">
            <w:r>
              <w:t>prs_responses</w:t>
            </w:r>
          </w:p>
        </w:tc>
        <w:tc>
          <w:tcPr>
            <w:tcW w:w="2160" w:type="dxa"/>
          </w:tcPr>
          <w:p w14:paraId="28993E4B"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19F7821D" w14:textId="77777777" w:rsidR="00DE6229" w:rsidRDefault="00000000">
            <w:pPr>
              <w:cnfStyle w:val="000000010000" w:firstRow="0" w:lastRow="0" w:firstColumn="0" w:lastColumn="0" w:oddVBand="0" w:evenVBand="0" w:oddHBand="0" w:evenHBand="1" w:firstRowFirstColumn="0" w:firstRowLastColumn="0" w:lastRowFirstColumn="0" w:lastRowLastColumn="0"/>
            </w:pPr>
            <w:r>
              <w:t>candidate</w:t>
            </w:r>
          </w:p>
        </w:tc>
        <w:tc>
          <w:tcPr>
            <w:tcW w:w="2160" w:type="dxa"/>
          </w:tcPr>
          <w:p w14:paraId="47475539" w14:textId="77777777" w:rsidR="00DE6229" w:rsidRDefault="00000000">
            <w:pPr>
              <w:cnfStyle w:val="000000010000" w:firstRow="0" w:lastRow="0" w:firstColumn="0" w:lastColumn="0" w:oddVBand="0" w:evenVBand="0" w:oddHBand="0" w:evenHBand="1" w:firstRowFirstColumn="0" w:firstRowLastColumn="0" w:lastRowFirstColumn="0" w:lastRowLastColumn="0"/>
            </w:pPr>
            <w:r>
              <w:t>Bounded per patient</w:t>
            </w:r>
          </w:p>
        </w:tc>
      </w:tr>
      <w:tr w:rsidR="00DE6229" w14:paraId="67AEADE4"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8DB409" w14:textId="77777777" w:rsidR="00DE6229" w:rsidRDefault="00000000">
            <w:r>
              <w:t>prs_scale_results</w:t>
            </w:r>
          </w:p>
        </w:tc>
        <w:tc>
          <w:tcPr>
            <w:tcW w:w="2160" w:type="dxa"/>
          </w:tcPr>
          <w:p w14:paraId="5F408AD2"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4A1A740E"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73E307C9"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26623631"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51F80B" w14:textId="77777777" w:rsidR="00DE6229" w:rsidRDefault="00000000">
            <w:r>
              <w:t>prs_final_results</w:t>
            </w:r>
          </w:p>
        </w:tc>
        <w:tc>
          <w:tcPr>
            <w:tcW w:w="2160" w:type="dxa"/>
          </w:tcPr>
          <w:p w14:paraId="6AA58D45"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6C2970A6"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CD36F51" w14:textId="77777777" w:rsidR="00DE6229" w:rsidRDefault="00DE6229">
            <w:pPr>
              <w:cnfStyle w:val="000000010000" w:firstRow="0" w:lastRow="0" w:firstColumn="0" w:lastColumn="0" w:oddVBand="0" w:evenVBand="0" w:oddHBand="0" w:evenHBand="1" w:firstRowFirstColumn="0" w:firstRowLastColumn="0" w:lastRowFirstColumn="0" w:lastRowLastColumn="0"/>
            </w:pPr>
          </w:p>
        </w:tc>
      </w:tr>
      <w:tr w:rsidR="00DE6229" w14:paraId="00874085"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C5BF62" w14:textId="77777777" w:rsidR="00DE6229" w:rsidRDefault="00000000">
            <w:r>
              <w:t>patient_scale_assignments</w:t>
            </w:r>
          </w:p>
        </w:tc>
        <w:tc>
          <w:tcPr>
            <w:tcW w:w="2160" w:type="dxa"/>
          </w:tcPr>
          <w:p w14:paraId="5D4BD450"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411CE65E"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CBE6DCE"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4FCF0DDC"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C2E922" w14:textId="77777777" w:rsidR="00DE6229" w:rsidRDefault="00000000">
            <w:r>
              <w:t>patient_eeg_files</w:t>
            </w:r>
          </w:p>
        </w:tc>
        <w:tc>
          <w:tcPr>
            <w:tcW w:w="2160" w:type="dxa"/>
          </w:tcPr>
          <w:p w14:paraId="5376ADBF"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0AF44903"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8A1BCA6" w14:textId="77777777" w:rsidR="00DE6229" w:rsidRDefault="00000000">
            <w:pPr>
              <w:cnfStyle w:val="000000010000" w:firstRow="0" w:lastRow="0" w:firstColumn="0" w:lastColumn="0" w:oddVBand="0" w:evenVBand="0" w:oddHBand="0" w:evenHBand="1" w:firstRowFirstColumn="0" w:firstRowLastColumn="0" w:lastRowFirstColumn="0" w:lastRowLastColumn="0"/>
            </w:pPr>
            <w:r>
              <w:t>S3 pointers; 7yr clinical retention</w:t>
            </w:r>
          </w:p>
        </w:tc>
      </w:tr>
      <w:tr w:rsidR="00DE6229" w14:paraId="7BD2BC9E"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539DCB" w14:textId="77777777" w:rsidR="00DE6229" w:rsidRDefault="00000000">
            <w:r>
              <w:t>patient_medical_history_files</w:t>
            </w:r>
          </w:p>
        </w:tc>
        <w:tc>
          <w:tcPr>
            <w:tcW w:w="2160" w:type="dxa"/>
          </w:tcPr>
          <w:p w14:paraId="03D94BAB"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42388735"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DA7DCEA" w14:textId="77777777" w:rsidR="00DE6229" w:rsidRDefault="00000000">
            <w:pPr>
              <w:cnfStyle w:val="000000100000" w:firstRow="0" w:lastRow="0" w:firstColumn="0" w:lastColumn="0" w:oddVBand="0" w:evenVBand="0" w:oddHBand="1" w:evenHBand="0" w:firstRowFirstColumn="0" w:firstRowLastColumn="0" w:lastRowFirstColumn="0" w:lastRowLastColumn="0"/>
            </w:pPr>
            <w:r>
              <w:t>S3 pointers</w:t>
            </w:r>
          </w:p>
        </w:tc>
      </w:tr>
      <w:tr w:rsidR="00DE6229" w14:paraId="7A087E62"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9B01C4" w14:textId="77777777" w:rsidR="00DE6229" w:rsidRDefault="00000000">
            <w:r>
              <w:t>doctor_session_notes</w:t>
            </w:r>
          </w:p>
        </w:tc>
        <w:tc>
          <w:tcPr>
            <w:tcW w:w="2160" w:type="dxa"/>
          </w:tcPr>
          <w:p w14:paraId="7B9FAC84"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37AA4EDF"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BA091DD" w14:textId="77777777" w:rsidR="00DE6229" w:rsidRDefault="00000000">
            <w:pPr>
              <w:cnfStyle w:val="000000010000" w:firstRow="0" w:lastRow="0" w:firstColumn="0" w:lastColumn="0" w:oddVBand="0" w:evenVBand="0" w:oddHBand="0" w:evenHBand="1" w:firstRowFirstColumn="0" w:firstRowLastColumn="0" w:lastRowFirstColumn="0" w:lastRowLastColumn="0"/>
            </w:pPr>
            <w:r>
              <w:t>is_confidential excluded from portability</w:t>
            </w:r>
          </w:p>
        </w:tc>
      </w:tr>
      <w:tr w:rsidR="00DE6229" w14:paraId="59278534"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E57129" w14:textId="77777777" w:rsidR="00DE6229" w:rsidRDefault="00000000">
            <w:r>
              <w:t>notifications</w:t>
            </w:r>
          </w:p>
        </w:tc>
        <w:tc>
          <w:tcPr>
            <w:tcW w:w="2160" w:type="dxa"/>
          </w:tcPr>
          <w:p w14:paraId="2732F99A"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699E5C43" w14:textId="77777777" w:rsidR="00DE6229" w:rsidRDefault="00000000">
            <w:pPr>
              <w:cnfStyle w:val="000000100000" w:firstRow="0" w:lastRow="0" w:firstColumn="0" w:lastColumn="0" w:oddVBand="0" w:evenVBand="0" w:oddHBand="1" w:evenHBand="0" w:firstRowFirstColumn="0" w:firstRowLastColumn="0" w:lastRowFirstColumn="0" w:lastRowLastColumn="0"/>
            </w:pPr>
            <w:r>
              <w:t>monthly</w:t>
            </w:r>
          </w:p>
        </w:tc>
        <w:tc>
          <w:tcPr>
            <w:tcW w:w="2160" w:type="dxa"/>
          </w:tcPr>
          <w:p w14:paraId="7B4675F0" w14:textId="77777777" w:rsidR="00DE6229" w:rsidRDefault="00000000">
            <w:pPr>
              <w:cnfStyle w:val="000000100000" w:firstRow="0" w:lastRow="0" w:firstColumn="0" w:lastColumn="0" w:oddVBand="0" w:evenVBand="0" w:oddHBand="1" w:evenHBand="0" w:firstRowFirstColumn="0" w:firstRowLastColumn="0" w:lastRowFirstColumn="0" w:lastRowLastColumn="0"/>
            </w:pPr>
            <w:r>
              <w:t>1yr retention; drop old partitions</w:t>
            </w:r>
          </w:p>
        </w:tc>
      </w:tr>
      <w:tr w:rsidR="00DE6229" w14:paraId="04D83953"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2DF009" w14:textId="77777777" w:rsidR="00DE6229" w:rsidRDefault="00000000">
            <w:r>
              <w:t>payments</w:t>
            </w:r>
          </w:p>
        </w:tc>
        <w:tc>
          <w:tcPr>
            <w:tcW w:w="2160" w:type="dxa"/>
          </w:tcPr>
          <w:p w14:paraId="695E626F"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64F31C01" w14:textId="77777777" w:rsidR="00DE6229" w:rsidRDefault="00000000">
            <w:pPr>
              <w:cnfStyle w:val="000000010000" w:firstRow="0" w:lastRow="0" w:firstColumn="0" w:lastColumn="0" w:oddVBand="0" w:evenVBand="0" w:oddHBand="0" w:evenHBand="1" w:firstRowFirstColumn="0" w:firstRowLastColumn="0" w:lastRowFirstColumn="0" w:lastRowLastColumn="0"/>
            </w:pPr>
            <w:r>
              <w:t>candidate</w:t>
            </w:r>
          </w:p>
        </w:tc>
        <w:tc>
          <w:tcPr>
            <w:tcW w:w="2160" w:type="dxa"/>
          </w:tcPr>
          <w:p w14:paraId="5D8650D7" w14:textId="77777777" w:rsidR="00DE6229" w:rsidRDefault="00000000">
            <w:pPr>
              <w:cnfStyle w:val="000000010000" w:firstRow="0" w:lastRow="0" w:firstColumn="0" w:lastColumn="0" w:oddVBand="0" w:evenVBand="0" w:oddHBand="0" w:evenHBand="1" w:firstRowFirstColumn="0" w:firstRowLastColumn="0" w:lastRowFirstColumn="0" w:lastRowLastColumn="0"/>
            </w:pPr>
            <w:r>
              <w:t>8yr financial retention; on created_at</w:t>
            </w:r>
          </w:p>
        </w:tc>
      </w:tr>
      <w:tr w:rsidR="00DE6229" w14:paraId="41C50EBE"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1BEA3C" w14:textId="77777777" w:rsidR="00DE6229" w:rsidRDefault="00000000">
            <w:r>
              <w:t>store_orders</w:t>
            </w:r>
          </w:p>
        </w:tc>
        <w:tc>
          <w:tcPr>
            <w:tcW w:w="2160" w:type="dxa"/>
          </w:tcPr>
          <w:p w14:paraId="27F5EBC5"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2062B4AB"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5B9BE45"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38D61402"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D37946" w14:textId="77777777" w:rsidR="00DE6229" w:rsidRDefault="00000000">
            <w:r>
              <w:t>order_items</w:t>
            </w:r>
          </w:p>
        </w:tc>
        <w:tc>
          <w:tcPr>
            <w:tcW w:w="2160" w:type="dxa"/>
          </w:tcPr>
          <w:p w14:paraId="2EE03BA3"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6B5CA172"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BAA8C52" w14:textId="77777777" w:rsidR="00DE6229" w:rsidRDefault="00DE6229">
            <w:pPr>
              <w:cnfStyle w:val="000000010000" w:firstRow="0" w:lastRow="0" w:firstColumn="0" w:lastColumn="0" w:oddVBand="0" w:evenVBand="0" w:oddHBand="0" w:evenHBand="1" w:firstRowFirstColumn="0" w:firstRowLastColumn="0" w:lastRowFirstColumn="0" w:lastRowLastColumn="0"/>
            </w:pPr>
          </w:p>
        </w:tc>
      </w:tr>
      <w:tr w:rsidR="00DE6229" w14:paraId="3048EF9C"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CA71FD" w14:textId="77777777" w:rsidR="00DE6229" w:rsidRDefault="00000000">
            <w:r>
              <w:t>inventory</w:t>
            </w:r>
          </w:p>
        </w:tc>
        <w:tc>
          <w:tcPr>
            <w:tcW w:w="2160" w:type="dxa"/>
          </w:tcPr>
          <w:p w14:paraId="7C83A18A"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60D938E5"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8689C82"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533588B1"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1CF8FA" w14:textId="77777777" w:rsidR="00DE6229" w:rsidRDefault="00000000">
            <w:r>
              <w:t>stock_transfers</w:t>
            </w:r>
          </w:p>
        </w:tc>
        <w:tc>
          <w:tcPr>
            <w:tcW w:w="2160" w:type="dxa"/>
          </w:tcPr>
          <w:p w14:paraId="67888FB2"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7CFD89AF"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597FF9A" w14:textId="77777777" w:rsidR="00DE6229" w:rsidRDefault="00DE6229">
            <w:pPr>
              <w:cnfStyle w:val="000000010000" w:firstRow="0" w:lastRow="0" w:firstColumn="0" w:lastColumn="0" w:oddVBand="0" w:evenVBand="0" w:oddHBand="0" w:evenHBand="1" w:firstRowFirstColumn="0" w:firstRowLastColumn="0" w:lastRowFirstColumn="0" w:lastRowLastColumn="0"/>
            </w:pPr>
          </w:p>
        </w:tc>
      </w:tr>
      <w:tr w:rsidR="00DE6229" w14:paraId="22C06131"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C9CEA9" w14:textId="77777777" w:rsidR="00DE6229" w:rsidRDefault="00000000">
            <w:r>
              <w:t>staff_requests</w:t>
            </w:r>
          </w:p>
        </w:tc>
        <w:tc>
          <w:tcPr>
            <w:tcW w:w="2160" w:type="dxa"/>
          </w:tcPr>
          <w:p w14:paraId="2409F380" w14:textId="77777777" w:rsidR="00DE6229" w:rsidRDefault="00000000">
            <w:pPr>
              <w:cnfStyle w:val="000000100000" w:firstRow="0" w:lastRow="0" w:firstColumn="0" w:lastColumn="0" w:oddVBand="0" w:evenVBand="0" w:oddHBand="1" w:evenHBand="0" w:firstRowFirstColumn="0" w:firstRowLastColumn="0" w:lastRowFirstColumn="0" w:lastRowLastColumn="0"/>
            </w:pPr>
            <w:r>
              <w:t>core</w:t>
            </w:r>
          </w:p>
        </w:tc>
        <w:tc>
          <w:tcPr>
            <w:tcW w:w="2160" w:type="dxa"/>
          </w:tcPr>
          <w:p w14:paraId="2CCF41A1"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61585F2" w14:textId="77777777" w:rsidR="00DE6229" w:rsidRDefault="00DE6229">
            <w:pPr>
              <w:cnfStyle w:val="000000100000" w:firstRow="0" w:lastRow="0" w:firstColumn="0" w:lastColumn="0" w:oddVBand="0" w:evenVBand="0" w:oddHBand="1" w:evenHBand="0" w:firstRowFirstColumn="0" w:firstRowLastColumn="0" w:lastRowFirstColumn="0" w:lastRowLastColumn="0"/>
            </w:pPr>
          </w:p>
        </w:tc>
      </w:tr>
      <w:tr w:rsidR="00DE6229" w14:paraId="72B8EB9D"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5D6B31" w14:textId="77777777" w:rsidR="00DE6229" w:rsidRDefault="00000000">
            <w:r>
              <w:t>clinic_requests</w:t>
            </w:r>
          </w:p>
        </w:tc>
        <w:tc>
          <w:tcPr>
            <w:tcW w:w="2160" w:type="dxa"/>
          </w:tcPr>
          <w:p w14:paraId="1FE62134" w14:textId="77777777" w:rsidR="00DE6229" w:rsidRDefault="00000000">
            <w:pPr>
              <w:cnfStyle w:val="000000010000" w:firstRow="0" w:lastRow="0" w:firstColumn="0" w:lastColumn="0" w:oddVBand="0" w:evenVBand="0" w:oddHBand="0" w:evenHBand="1" w:firstRowFirstColumn="0" w:firstRowLastColumn="0" w:lastRowFirstColumn="0" w:lastRowLastColumn="0"/>
            </w:pPr>
            <w:r>
              <w:t>core</w:t>
            </w:r>
          </w:p>
        </w:tc>
        <w:tc>
          <w:tcPr>
            <w:tcW w:w="2160" w:type="dxa"/>
          </w:tcPr>
          <w:p w14:paraId="5A9478AB"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CE61B7B" w14:textId="77777777" w:rsidR="00DE6229" w:rsidRDefault="00DE6229">
            <w:pPr>
              <w:cnfStyle w:val="000000010000" w:firstRow="0" w:lastRow="0" w:firstColumn="0" w:lastColumn="0" w:oddVBand="0" w:evenVBand="0" w:oddHBand="0" w:evenHBand="1" w:firstRowFirstColumn="0" w:firstRowLastColumn="0" w:lastRowFirstColumn="0" w:lastRowLastColumn="0"/>
            </w:pPr>
          </w:p>
        </w:tc>
      </w:tr>
      <w:tr w:rsidR="00DE6229" w14:paraId="48FBFCE3"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33CD23" w14:textId="77777777" w:rsidR="00DE6229" w:rsidRDefault="00000000">
            <w:r>
              <w:t>anamnesis_questions</w:t>
            </w:r>
          </w:p>
        </w:tc>
        <w:tc>
          <w:tcPr>
            <w:tcW w:w="2160" w:type="dxa"/>
          </w:tcPr>
          <w:p w14:paraId="4D518F28" w14:textId="77777777" w:rsidR="00DE6229" w:rsidRDefault="00000000">
            <w:pPr>
              <w:cnfStyle w:val="000000100000" w:firstRow="0" w:lastRow="0" w:firstColumn="0" w:lastColumn="0" w:oddVBand="0" w:evenVBand="0" w:oddHBand="1" w:evenHBand="0" w:firstRowFirstColumn="0" w:firstRowLastColumn="0" w:lastRowFirstColumn="0" w:lastRowLastColumn="0"/>
            </w:pPr>
            <w:r>
              <w:t>reference</w:t>
            </w:r>
          </w:p>
        </w:tc>
        <w:tc>
          <w:tcPr>
            <w:tcW w:w="2160" w:type="dxa"/>
          </w:tcPr>
          <w:p w14:paraId="4CEDCA65"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97A6EDD" w14:textId="77777777" w:rsidR="00DE6229" w:rsidRDefault="00000000">
            <w:pPr>
              <w:cnfStyle w:val="000000100000" w:firstRow="0" w:lastRow="0" w:firstColumn="0" w:lastColumn="0" w:oddVBand="0" w:evenVBand="0" w:oddHBand="1" w:evenHBand="0" w:firstRowFirstColumn="0" w:firstRowLastColumn="0" w:lastRowFirstColumn="0" w:lastRowLastColumn="0"/>
            </w:pPr>
            <w:r>
              <w:t>Static config</w:t>
            </w:r>
          </w:p>
        </w:tc>
      </w:tr>
      <w:tr w:rsidR="00DE6229" w14:paraId="21E86533"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159D3" w14:textId="77777777" w:rsidR="00DE6229" w:rsidRDefault="00000000">
            <w:r>
              <w:t>anamnesis_options</w:t>
            </w:r>
          </w:p>
        </w:tc>
        <w:tc>
          <w:tcPr>
            <w:tcW w:w="2160" w:type="dxa"/>
          </w:tcPr>
          <w:p w14:paraId="487FA076" w14:textId="77777777" w:rsidR="00DE6229" w:rsidRDefault="00000000">
            <w:pPr>
              <w:cnfStyle w:val="000000010000" w:firstRow="0" w:lastRow="0" w:firstColumn="0" w:lastColumn="0" w:oddVBand="0" w:evenVBand="0" w:oddHBand="0" w:evenHBand="1" w:firstRowFirstColumn="0" w:firstRowLastColumn="0" w:lastRowFirstColumn="0" w:lastRowLastColumn="0"/>
            </w:pPr>
            <w:r>
              <w:t>reference</w:t>
            </w:r>
          </w:p>
        </w:tc>
        <w:tc>
          <w:tcPr>
            <w:tcW w:w="2160" w:type="dxa"/>
          </w:tcPr>
          <w:p w14:paraId="633B9A2B"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0965285" w14:textId="77777777" w:rsidR="00DE6229" w:rsidRDefault="00000000">
            <w:pPr>
              <w:cnfStyle w:val="000000010000" w:firstRow="0" w:lastRow="0" w:firstColumn="0" w:lastColumn="0" w:oddVBand="0" w:evenVBand="0" w:oddHBand="0" w:evenHBand="1" w:firstRowFirstColumn="0" w:firstRowLastColumn="0" w:lastRowFirstColumn="0" w:lastRowLastColumn="0"/>
            </w:pPr>
            <w:r>
              <w:t>Static config</w:t>
            </w:r>
          </w:p>
        </w:tc>
      </w:tr>
      <w:tr w:rsidR="00DE6229" w14:paraId="3C2F8A22"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7F27CC" w14:textId="77777777" w:rsidR="00DE6229" w:rsidRDefault="00000000">
            <w:r>
              <w:t>prs_diseases</w:t>
            </w:r>
          </w:p>
        </w:tc>
        <w:tc>
          <w:tcPr>
            <w:tcW w:w="2160" w:type="dxa"/>
          </w:tcPr>
          <w:p w14:paraId="0826B363" w14:textId="77777777" w:rsidR="00DE6229" w:rsidRDefault="00000000">
            <w:pPr>
              <w:cnfStyle w:val="000000100000" w:firstRow="0" w:lastRow="0" w:firstColumn="0" w:lastColumn="0" w:oddVBand="0" w:evenVBand="0" w:oddHBand="1" w:evenHBand="0" w:firstRowFirstColumn="0" w:firstRowLastColumn="0" w:lastRowFirstColumn="0" w:lastRowLastColumn="0"/>
            </w:pPr>
            <w:r>
              <w:t>reference</w:t>
            </w:r>
          </w:p>
        </w:tc>
        <w:tc>
          <w:tcPr>
            <w:tcW w:w="2160" w:type="dxa"/>
          </w:tcPr>
          <w:p w14:paraId="4FBC98FB"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145C1FC" w14:textId="77777777" w:rsidR="00DE6229" w:rsidRDefault="00000000">
            <w:pPr>
              <w:cnfStyle w:val="000000100000" w:firstRow="0" w:lastRow="0" w:firstColumn="0" w:lastColumn="0" w:oddVBand="0" w:evenVBand="0" w:oddHBand="1" w:evenHBand="0" w:firstRowFirstColumn="0" w:firstRowLastColumn="0" w:lastRowFirstColumn="0" w:lastRowLastColumn="0"/>
            </w:pPr>
            <w:r>
              <w:t>Catalogue</w:t>
            </w:r>
          </w:p>
        </w:tc>
      </w:tr>
      <w:tr w:rsidR="00DE6229" w14:paraId="5375E6E9"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D30CED" w14:textId="77777777" w:rsidR="00DE6229" w:rsidRDefault="00000000">
            <w:r>
              <w:t>prs_scales</w:t>
            </w:r>
          </w:p>
        </w:tc>
        <w:tc>
          <w:tcPr>
            <w:tcW w:w="2160" w:type="dxa"/>
          </w:tcPr>
          <w:p w14:paraId="69A39A04" w14:textId="77777777" w:rsidR="00DE6229" w:rsidRDefault="00000000">
            <w:pPr>
              <w:cnfStyle w:val="000000010000" w:firstRow="0" w:lastRow="0" w:firstColumn="0" w:lastColumn="0" w:oddVBand="0" w:evenVBand="0" w:oddHBand="0" w:evenHBand="1" w:firstRowFirstColumn="0" w:firstRowLastColumn="0" w:lastRowFirstColumn="0" w:lastRowLastColumn="0"/>
            </w:pPr>
            <w:r>
              <w:t>reference</w:t>
            </w:r>
          </w:p>
        </w:tc>
        <w:tc>
          <w:tcPr>
            <w:tcW w:w="2160" w:type="dxa"/>
          </w:tcPr>
          <w:p w14:paraId="445874F4"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08B84E4" w14:textId="77777777" w:rsidR="00DE6229" w:rsidRDefault="00000000">
            <w:pPr>
              <w:cnfStyle w:val="000000010000" w:firstRow="0" w:lastRow="0" w:firstColumn="0" w:lastColumn="0" w:oddVBand="0" w:evenVBand="0" w:oddHBand="0" w:evenHBand="1" w:firstRowFirstColumn="0" w:firstRowLastColumn="0" w:lastRowFirstColumn="0" w:lastRowLastColumn="0"/>
            </w:pPr>
            <w:r>
              <w:t>Catalogue</w:t>
            </w:r>
          </w:p>
        </w:tc>
      </w:tr>
      <w:tr w:rsidR="00DE6229" w14:paraId="2CBECE7D"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284871" w14:textId="77777777" w:rsidR="00DE6229" w:rsidRDefault="00000000">
            <w:r>
              <w:t>prs_questions</w:t>
            </w:r>
          </w:p>
        </w:tc>
        <w:tc>
          <w:tcPr>
            <w:tcW w:w="2160" w:type="dxa"/>
          </w:tcPr>
          <w:p w14:paraId="3D70020D" w14:textId="77777777" w:rsidR="00DE6229" w:rsidRDefault="00000000">
            <w:pPr>
              <w:cnfStyle w:val="000000100000" w:firstRow="0" w:lastRow="0" w:firstColumn="0" w:lastColumn="0" w:oddVBand="0" w:evenVBand="0" w:oddHBand="1" w:evenHBand="0" w:firstRowFirstColumn="0" w:firstRowLastColumn="0" w:lastRowFirstColumn="0" w:lastRowLastColumn="0"/>
            </w:pPr>
            <w:r>
              <w:t>reference</w:t>
            </w:r>
          </w:p>
        </w:tc>
        <w:tc>
          <w:tcPr>
            <w:tcW w:w="2160" w:type="dxa"/>
          </w:tcPr>
          <w:p w14:paraId="0D0B6EE3"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AA9BCDB" w14:textId="77777777" w:rsidR="00DE6229" w:rsidRDefault="00000000">
            <w:pPr>
              <w:cnfStyle w:val="000000100000" w:firstRow="0" w:lastRow="0" w:firstColumn="0" w:lastColumn="0" w:oddVBand="0" w:evenVBand="0" w:oddHBand="1" w:evenHBand="0" w:firstRowFirstColumn="0" w:firstRowLastColumn="0" w:lastRowFirstColumn="0" w:lastRowLastColumn="0"/>
            </w:pPr>
            <w:r>
              <w:t>Catalogue</w:t>
            </w:r>
          </w:p>
        </w:tc>
      </w:tr>
      <w:tr w:rsidR="00DE6229" w14:paraId="2B0F3385"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045C57" w14:textId="77777777" w:rsidR="00DE6229" w:rsidRDefault="00000000">
            <w:r>
              <w:t>prs_options</w:t>
            </w:r>
          </w:p>
        </w:tc>
        <w:tc>
          <w:tcPr>
            <w:tcW w:w="2160" w:type="dxa"/>
          </w:tcPr>
          <w:p w14:paraId="555741A8" w14:textId="77777777" w:rsidR="00DE6229" w:rsidRDefault="00000000">
            <w:pPr>
              <w:cnfStyle w:val="000000010000" w:firstRow="0" w:lastRow="0" w:firstColumn="0" w:lastColumn="0" w:oddVBand="0" w:evenVBand="0" w:oddHBand="0" w:evenHBand="1" w:firstRowFirstColumn="0" w:firstRowLastColumn="0" w:lastRowFirstColumn="0" w:lastRowLastColumn="0"/>
            </w:pPr>
            <w:r>
              <w:t>reference</w:t>
            </w:r>
          </w:p>
        </w:tc>
        <w:tc>
          <w:tcPr>
            <w:tcW w:w="2160" w:type="dxa"/>
          </w:tcPr>
          <w:p w14:paraId="0F7EB1E3"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A7AFB81" w14:textId="77777777" w:rsidR="00DE6229" w:rsidRDefault="00000000">
            <w:pPr>
              <w:cnfStyle w:val="000000010000" w:firstRow="0" w:lastRow="0" w:firstColumn="0" w:lastColumn="0" w:oddVBand="0" w:evenVBand="0" w:oddHBand="0" w:evenHBand="1" w:firstRowFirstColumn="0" w:firstRowLastColumn="0" w:lastRowFirstColumn="0" w:lastRowLastColumn="0"/>
            </w:pPr>
            <w:r>
              <w:t>Catalogue</w:t>
            </w:r>
          </w:p>
        </w:tc>
      </w:tr>
      <w:tr w:rsidR="00DE6229" w14:paraId="30908C89"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383CE1" w14:textId="77777777" w:rsidR="00DE6229" w:rsidRDefault="00000000">
            <w:r>
              <w:t>prs_disease_question_map</w:t>
            </w:r>
          </w:p>
        </w:tc>
        <w:tc>
          <w:tcPr>
            <w:tcW w:w="2160" w:type="dxa"/>
          </w:tcPr>
          <w:p w14:paraId="658422C2" w14:textId="77777777" w:rsidR="00DE6229" w:rsidRDefault="00000000">
            <w:pPr>
              <w:cnfStyle w:val="000000100000" w:firstRow="0" w:lastRow="0" w:firstColumn="0" w:lastColumn="0" w:oddVBand="0" w:evenVBand="0" w:oddHBand="1" w:evenHBand="0" w:firstRowFirstColumn="0" w:firstRowLastColumn="0" w:lastRowFirstColumn="0" w:lastRowLastColumn="0"/>
            </w:pPr>
            <w:r>
              <w:t>reference</w:t>
            </w:r>
          </w:p>
        </w:tc>
        <w:tc>
          <w:tcPr>
            <w:tcW w:w="2160" w:type="dxa"/>
          </w:tcPr>
          <w:p w14:paraId="19364DF6"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359A15F" w14:textId="77777777" w:rsidR="00DE6229" w:rsidRDefault="00000000">
            <w:pPr>
              <w:cnfStyle w:val="000000100000" w:firstRow="0" w:lastRow="0" w:firstColumn="0" w:lastColumn="0" w:oddVBand="0" w:evenVBand="0" w:oddHBand="1" w:evenHBand="0" w:firstRowFirstColumn="0" w:firstRowLastColumn="0" w:lastRowFirstColumn="0" w:lastRowLastColumn="0"/>
            </w:pPr>
            <w:r>
              <w:t>Mapping</w:t>
            </w:r>
          </w:p>
        </w:tc>
      </w:tr>
      <w:tr w:rsidR="00DE6229" w14:paraId="443CAED7"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6C2123" w14:textId="77777777" w:rsidR="00DE6229" w:rsidRDefault="00000000">
            <w:r>
              <w:t>prs_disease_scale_map</w:t>
            </w:r>
          </w:p>
        </w:tc>
        <w:tc>
          <w:tcPr>
            <w:tcW w:w="2160" w:type="dxa"/>
          </w:tcPr>
          <w:p w14:paraId="33400C7D" w14:textId="77777777" w:rsidR="00DE6229" w:rsidRDefault="00000000">
            <w:pPr>
              <w:cnfStyle w:val="000000010000" w:firstRow="0" w:lastRow="0" w:firstColumn="0" w:lastColumn="0" w:oddVBand="0" w:evenVBand="0" w:oddHBand="0" w:evenHBand="1" w:firstRowFirstColumn="0" w:firstRowLastColumn="0" w:lastRowFirstColumn="0" w:lastRowLastColumn="0"/>
            </w:pPr>
            <w:r>
              <w:t>reference</w:t>
            </w:r>
          </w:p>
        </w:tc>
        <w:tc>
          <w:tcPr>
            <w:tcW w:w="2160" w:type="dxa"/>
          </w:tcPr>
          <w:p w14:paraId="3B2BE9E8"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EB94299" w14:textId="77777777" w:rsidR="00DE6229" w:rsidRDefault="00000000">
            <w:pPr>
              <w:cnfStyle w:val="000000010000" w:firstRow="0" w:lastRow="0" w:firstColumn="0" w:lastColumn="0" w:oddVBand="0" w:evenVBand="0" w:oddHBand="0" w:evenHBand="1" w:firstRowFirstColumn="0" w:firstRowLastColumn="0" w:lastRowFirstColumn="0" w:lastRowLastColumn="0"/>
            </w:pPr>
            <w:r>
              <w:t>Mapping</w:t>
            </w:r>
          </w:p>
        </w:tc>
      </w:tr>
      <w:tr w:rsidR="00DE6229" w14:paraId="67FD8544"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0C3DFA" w14:textId="77777777" w:rsidR="00DE6229" w:rsidRDefault="00000000">
            <w:r>
              <w:t>prs_scale_question_map</w:t>
            </w:r>
          </w:p>
        </w:tc>
        <w:tc>
          <w:tcPr>
            <w:tcW w:w="2160" w:type="dxa"/>
          </w:tcPr>
          <w:p w14:paraId="5BB291C9" w14:textId="77777777" w:rsidR="00DE6229" w:rsidRDefault="00000000">
            <w:pPr>
              <w:cnfStyle w:val="000000100000" w:firstRow="0" w:lastRow="0" w:firstColumn="0" w:lastColumn="0" w:oddVBand="0" w:evenVBand="0" w:oddHBand="1" w:evenHBand="0" w:firstRowFirstColumn="0" w:firstRowLastColumn="0" w:lastRowFirstColumn="0" w:lastRowLastColumn="0"/>
            </w:pPr>
            <w:r>
              <w:t>reference</w:t>
            </w:r>
          </w:p>
        </w:tc>
        <w:tc>
          <w:tcPr>
            <w:tcW w:w="2160" w:type="dxa"/>
          </w:tcPr>
          <w:p w14:paraId="6C8FB06C"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F70085B" w14:textId="77777777" w:rsidR="00DE6229" w:rsidRDefault="00000000">
            <w:pPr>
              <w:cnfStyle w:val="000000100000" w:firstRow="0" w:lastRow="0" w:firstColumn="0" w:lastColumn="0" w:oddVBand="0" w:evenVBand="0" w:oddHBand="1" w:evenHBand="0" w:firstRowFirstColumn="0" w:firstRowLastColumn="0" w:lastRowFirstColumn="0" w:lastRowLastColumn="0"/>
            </w:pPr>
            <w:r>
              <w:t>Mapping</w:t>
            </w:r>
          </w:p>
        </w:tc>
      </w:tr>
      <w:tr w:rsidR="00DE6229" w14:paraId="5FF02D84"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EE655D" w14:textId="77777777" w:rsidR="00DE6229" w:rsidRDefault="00000000">
            <w:r>
              <w:t>prs_question_translations</w:t>
            </w:r>
          </w:p>
        </w:tc>
        <w:tc>
          <w:tcPr>
            <w:tcW w:w="2160" w:type="dxa"/>
          </w:tcPr>
          <w:p w14:paraId="6BB34439" w14:textId="77777777" w:rsidR="00DE6229" w:rsidRDefault="00000000">
            <w:pPr>
              <w:cnfStyle w:val="000000010000" w:firstRow="0" w:lastRow="0" w:firstColumn="0" w:lastColumn="0" w:oddVBand="0" w:evenVBand="0" w:oddHBand="0" w:evenHBand="1" w:firstRowFirstColumn="0" w:firstRowLastColumn="0" w:lastRowFirstColumn="0" w:lastRowLastColumn="0"/>
            </w:pPr>
            <w:r>
              <w:t>reference</w:t>
            </w:r>
          </w:p>
        </w:tc>
        <w:tc>
          <w:tcPr>
            <w:tcW w:w="2160" w:type="dxa"/>
          </w:tcPr>
          <w:p w14:paraId="574D3BB0"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8F7A7E1" w14:textId="77777777" w:rsidR="00DE6229" w:rsidRDefault="00000000">
            <w:pPr>
              <w:cnfStyle w:val="000000010000" w:firstRow="0" w:lastRow="0" w:firstColumn="0" w:lastColumn="0" w:oddVBand="0" w:evenVBand="0" w:oddHBand="0" w:evenHBand="1" w:firstRowFirstColumn="0" w:firstRowLastColumn="0" w:lastRowFirstColumn="0" w:lastRowLastColumn="0"/>
            </w:pPr>
            <w:r>
              <w:t>i18n</w:t>
            </w:r>
          </w:p>
        </w:tc>
      </w:tr>
      <w:tr w:rsidR="00DE6229" w14:paraId="038E31D4"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0F056F" w14:textId="77777777" w:rsidR="00DE6229" w:rsidRDefault="00000000">
            <w:r>
              <w:t>prs_option_translations</w:t>
            </w:r>
          </w:p>
        </w:tc>
        <w:tc>
          <w:tcPr>
            <w:tcW w:w="2160" w:type="dxa"/>
          </w:tcPr>
          <w:p w14:paraId="07503D0F" w14:textId="77777777" w:rsidR="00DE6229" w:rsidRDefault="00000000">
            <w:pPr>
              <w:cnfStyle w:val="000000100000" w:firstRow="0" w:lastRow="0" w:firstColumn="0" w:lastColumn="0" w:oddVBand="0" w:evenVBand="0" w:oddHBand="1" w:evenHBand="0" w:firstRowFirstColumn="0" w:firstRowLastColumn="0" w:lastRowFirstColumn="0" w:lastRowLastColumn="0"/>
            </w:pPr>
            <w:r>
              <w:t>reference</w:t>
            </w:r>
          </w:p>
        </w:tc>
        <w:tc>
          <w:tcPr>
            <w:tcW w:w="2160" w:type="dxa"/>
          </w:tcPr>
          <w:p w14:paraId="2C4311BC"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40C365C" w14:textId="77777777" w:rsidR="00DE6229" w:rsidRDefault="00000000">
            <w:pPr>
              <w:cnfStyle w:val="000000100000" w:firstRow="0" w:lastRow="0" w:firstColumn="0" w:lastColumn="0" w:oddVBand="0" w:evenVBand="0" w:oddHBand="1" w:evenHBand="0" w:firstRowFirstColumn="0" w:firstRowLastColumn="0" w:lastRowFirstColumn="0" w:lastRowLastColumn="0"/>
            </w:pPr>
            <w:r>
              <w:t>i18n</w:t>
            </w:r>
          </w:p>
        </w:tc>
      </w:tr>
      <w:tr w:rsidR="00DE6229" w14:paraId="3DF38985"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1A53A8" w14:textId="77777777" w:rsidR="00DE6229" w:rsidRDefault="00000000">
            <w:r>
              <w:t>consent_templates</w:t>
            </w:r>
          </w:p>
        </w:tc>
        <w:tc>
          <w:tcPr>
            <w:tcW w:w="2160" w:type="dxa"/>
          </w:tcPr>
          <w:p w14:paraId="6A080C00" w14:textId="77777777" w:rsidR="00DE6229" w:rsidRDefault="00000000">
            <w:pPr>
              <w:cnfStyle w:val="000000010000" w:firstRow="0" w:lastRow="0" w:firstColumn="0" w:lastColumn="0" w:oddVBand="0" w:evenVBand="0" w:oddHBand="0" w:evenHBand="1" w:firstRowFirstColumn="0" w:firstRowLastColumn="0" w:lastRowFirstColumn="0" w:lastRowLastColumn="0"/>
            </w:pPr>
            <w:r>
              <w:t>reference</w:t>
            </w:r>
          </w:p>
        </w:tc>
        <w:tc>
          <w:tcPr>
            <w:tcW w:w="2160" w:type="dxa"/>
          </w:tcPr>
          <w:p w14:paraId="51C15024"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02C48DA" w14:textId="77777777" w:rsidR="00DE6229" w:rsidRDefault="00000000">
            <w:pPr>
              <w:cnfStyle w:val="000000010000" w:firstRow="0" w:lastRow="0" w:firstColumn="0" w:lastColumn="0" w:oddVBand="0" w:evenVBand="0" w:oddHBand="0" w:evenHBand="1" w:firstRowFirstColumn="0" w:firstRowLastColumn="0" w:lastRowFirstColumn="0" w:lastRowLastColumn="0"/>
            </w:pPr>
            <w:r>
              <w:t>Versioned template catalogue</w:t>
            </w:r>
          </w:p>
        </w:tc>
      </w:tr>
      <w:tr w:rsidR="00DE6229" w14:paraId="7C0DC75A"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EF813E" w14:textId="77777777" w:rsidR="00DE6229" w:rsidRDefault="00000000">
            <w:r>
              <w:t>products</w:t>
            </w:r>
          </w:p>
        </w:tc>
        <w:tc>
          <w:tcPr>
            <w:tcW w:w="2160" w:type="dxa"/>
          </w:tcPr>
          <w:p w14:paraId="793E0C26" w14:textId="77777777" w:rsidR="00DE6229" w:rsidRDefault="00000000">
            <w:pPr>
              <w:cnfStyle w:val="000000100000" w:firstRow="0" w:lastRow="0" w:firstColumn="0" w:lastColumn="0" w:oddVBand="0" w:evenVBand="0" w:oddHBand="1" w:evenHBand="0" w:firstRowFirstColumn="0" w:firstRowLastColumn="0" w:lastRowFirstColumn="0" w:lastRowLastColumn="0"/>
            </w:pPr>
            <w:r>
              <w:t>reference</w:t>
            </w:r>
          </w:p>
        </w:tc>
        <w:tc>
          <w:tcPr>
            <w:tcW w:w="2160" w:type="dxa"/>
          </w:tcPr>
          <w:p w14:paraId="5C650BD5"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B83D84D" w14:textId="77777777" w:rsidR="00DE6229" w:rsidRDefault="00000000">
            <w:pPr>
              <w:cnfStyle w:val="000000100000" w:firstRow="0" w:lastRow="0" w:firstColumn="0" w:lastColumn="0" w:oddVBand="0" w:evenVBand="0" w:oddHBand="1" w:evenHBand="0" w:firstRowFirstColumn="0" w:firstRowLastColumn="0" w:lastRowFirstColumn="0" w:lastRowLastColumn="0"/>
            </w:pPr>
            <w:r>
              <w:t>Store catalogue</w:t>
            </w:r>
          </w:p>
        </w:tc>
      </w:tr>
      <w:tr w:rsidR="00DE6229" w14:paraId="693C2B62"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A5CF8B" w14:textId="77777777" w:rsidR="00DE6229" w:rsidRDefault="00000000">
            <w:r>
              <w:t>audit_logs</w:t>
            </w:r>
          </w:p>
        </w:tc>
        <w:tc>
          <w:tcPr>
            <w:tcW w:w="2160" w:type="dxa"/>
          </w:tcPr>
          <w:p w14:paraId="6F17C71C" w14:textId="77777777" w:rsidR="00DE6229" w:rsidRDefault="00000000">
            <w:pPr>
              <w:cnfStyle w:val="000000010000" w:firstRow="0" w:lastRow="0" w:firstColumn="0" w:lastColumn="0" w:oddVBand="0" w:evenVBand="0" w:oddHBand="0" w:evenHBand="1" w:firstRowFirstColumn="0" w:firstRowLastColumn="0" w:lastRowFirstColumn="0" w:lastRowLastColumn="0"/>
            </w:pPr>
            <w:r>
              <w:t>compliance</w:t>
            </w:r>
          </w:p>
        </w:tc>
        <w:tc>
          <w:tcPr>
            <w:tcW w:w="2160" w:type="dxa"/>
          </w:tcPr>
          <w:p w14:paraId="7E3E5F2D" w14:textId="77777777" w:rsidR="00DE6229" w:rsidRDefault="00000000">
            <w:pPr>
              <w:cnfStyle w:val="000000010000" w:firstRow="0" w:lastRow="0" w:firstColumn="0" w:lastColumn="0" w:oddVBand="0" w:evenVBand="0" w:oddHBand="0" w:evenHBand="1" w:firstRowFirstColumn="0" w:firstRowLastColumn="0" w:lastRowFirstColumn="0" w:lastRowLastColumn="0"/>
            </w:pPr>
            <w:r>
              <w:t>monthly</w:t>
            </w:r>
          </w:p>
        </w:tc>
        <w:tc>
          <w:tcPr>
            <w:tcW w:w="2160" w:type="dxa"/>
          </w:tcPr>
          <w:p w14:paraId="39D631AA" w14:textId="77777777" w:rsidR="00DE6229" w:rsidRDefault="00000000">
            <w:pPr>
              <w:cnfStyle w:val="000000010000" w:firstRow="0" w:lastRow="0" w:firstColumn="0" w:lastColumn="0" w:oddVBand="0" w:evenVBand="0" w:oddHBand="0" w:evenHBand="1" w:firstRowFirstColumn="0" w:firstRowLastColumn="0" w:lastRowFirstColumn="0" w:lastRowLastColumn="0"/>
            </w:pPr>
            <w:r>
              <w:t>Write-once; 10yr retention</w:t>
            </w:r>
          </w:p>
        </w:tc>
      </w:tr>
      <w:tr w:rsidR="00DE6229" w14:paraId="2C7A212E"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594CA2" w14:textId="77777777" w:rsidR="00DE6229" w:rsidRDefault="00000000">
            <w:r>
              <w:t>activity_logs</w:t>
            </w:r>
          </w:p>
        </w:tc>
        <w:tc>
          <w:tcPr>
            <w:tcW w:w="2160" w:type="dxa"/>
          </w:tcPr>
          <w:p w14:paraId="30DDAA42" w14:textId="77777777" w:rsidR="00DE6229" w:rsidRDefault="00000000">
            <w:pPr>
              <w:cnfStyle w:val="000000100000" w:firstRow="0" w:lastRow="0" w:firstColumn="0" w:lastColumn="0" w:oddVBand="0" w:evenVBand="0" w:oddHBand="1" w:evenHBand="0" w:firstRowFirstColumn="0" w:firstRowLastColumn="0" w:lastRowFirstColumn="0" w:lastRowLastColumn="0"/>
            </w:pPr>
            <w:r>
              <w:t>compliance</w:t>
            </w:r>
          </w:p>
        </w:tc>
        <w:tc>
          <w:tcPr>
            <w:tcW w:w="2160" w:type="dxa"/>
          </w:tcPr>
          <w:p w14:paraId="42D983C9" w14:textId="77777777" w:rsidR="00DE6229" w:rsidRDefault="00000000">
            <w:pPr>
              <w:cnfStyle w:val="000000100000" w:firstRow="0" w:lastRow="0" w:firstColumn="0" w:lastColumn="0" w:oddVBand="0" w:evenVBand="0" w:oddHBand="1" w:evenHBand="0" w:firstRowFirstColumn="0" w:firstRowLastColumn="0" w:lastRowFirstColumn="0" w:lastRowLastColumn="0"/>
            </w:pPr>
            <w:r>
              <w:t>monthly</w:t>
            </w:r>
          </w:p>
        </w:tc>
        <w:tc>
          <w:tcPr>
            <w:tcW w:w="2160" w:type="dxa"/>
          </w:tcPr>
          <w:p w14:paraId="2DA19FBF" w14:textId="77777777" w:rsidR="00DE6229" w:rsidRDefault="00000000">
            <w:pPr>
              <w:cnfStyle w:val="000000100000" w:firstRow="0" w:lastRow="0" w:firstColumn="0" w:lastColumn="0" w:oddVBand="0" w:evenVBand="0" w:oddHBand="1" w:evenHBand="0" w:firstRowFirstColumn="0" w:firstRowLastColumn="0" w:lastRowFirstColumn="0" w:lastRowLastColumn="0"/>
            </w:pPr>
            <w:r>
              <w:t>Write-once; 10yr retention</w:t>
            </w:r>
          </w:p>
        </w:tc>
      </w:tr>
      <w:tr w:rsidR="00DE6229" w14:paraId="5FF7F579"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579D6D" w14:textId="77777777" w:rsidR="00DE6229" w:rsidRDefault="00000000">
            <w:r>
              <w:t>consent_records</w:t>
            </w:r>
          </w:p>
        </w:tc>
        <w:tc>
          <w:tcPr>
            <w:tcW w:w="2160" w:type="dxa"/>
          </w:tcPr>
          <w:p w14:paraId="103F55E3" w14:textId="77777777" w:rsidR="00DE6229" w:rsidRDefault="00000000">
            <w:pPr>
              <w:cnfStyle w:val="000000010000" w:firstRow="0" w:lastRow="0" w:firstColumn="0" w:lastColumn="0" w:oddVBand="0" w:evenVBand="0" w:oddHBand="0" w:evenHBand="1" w:firstRowFirstColumn="0" w:firstRowLastColumn="0" w:lastRowFirstColumn="0" w:lastRowLastColumn="0"/>
            </w:pPr>
            <w:r>
              <w:t>compliance</w:t>
            </w:r>
          </w:p>
        </w:tc>
        <w:tc>
          <w:tcPr>
            <w:tcW w:w="2160" w:type="dxa"/>
          </w:tcPr>
          <w:p w14:paraId="68CE9F88"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9CB1BD7" w14:textId="77777777" w:rsidR="00DE6229" w:rsidRDefault="00000000">
            <w:pPr>
              <w:cnfStyle w:val="000000010000" w:firstRow="0" w:lastRow="0" w:firstColumn="0" w:lastColumn="0" w:oddVBand="0" w:evenVBand="0" w:oddHBand="0" w:evenHBand="1" w:firstRowFirstColumn="0" w:firstRowLastColumn="0" w:lastRowFirstColumn="0" w:lastRowLastColumn="0"/>
            </w:pPr>
            <w:r>
              <w:t xml:space="preserve">Signed evidence; </w:t>
            </w:r>
            <w:r>
              <w:lastRenderedPageBreak/>
              <w:t>guardian_id added (Layer 5)</w:t>
            </w:r>
          </w:p>
        </w:tc>
      </w:tr>
      <w:tr w:rsidR="00DE6229" w14:paraId="12F88969"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911227" w14:textId="77777777" w:rsidR="00DE6229" w:rsidRDefault="00000000">
            <w:r>
              <w:lastRenderedPageBreak/>
              <w:t>outbox_events</w:t>
            </w:r>
          </w:p>
        </w:tc>
        <w:tc>
          <w:tcPr>
            <w:tcW w:w="2160" w:type="dxa"/>
          </w:tcPr>
          <w:p w14:paraId="46722AEC" w14:textId="77777777" w:rsidR="00DE6229" w:rsidRDefault="00000000">
            <w:pPr>
              <w:cnfStyle w:val="000000100000" w:firstRow="0" w:lastRow="0" w:firstColumn="0" w:lastColumn="0" w:oddVBand="0" w:evenVBand="0" w:oddHBand="1" w:evenHBand="0" w:firstRowFirstColumn="0" w:firstRowLastColumn="0" w:lastRowFirstColumn="0" w:lastRowLastColumn="0"/>
            </w:pPr>
            <w:r>
              <w:t>ops</w:t>
            </w:r>
          </w:p>
        </w:tc>
        <w:tc>
          <w:tcPr>
            <w:tcW w:w="2160" w:type="dxa"/>
          </w:tcPr>
          <w:p w14:paraId="24E587E3"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49AD560" w14:textId="77777777" w:rsidR="00DE6229" w:rsidRDefault="00000000">
            <w:pPr>
              <w:cnfStyle w:val="000000100000" w:firstRow="0" w:lastRow="0" w:firstColumn="0" w:lastColumn="0" w:oddVBand="0" w:evenVBand="0" w:oddHBand="1" w:evenHBand="0" w:firstRowFirstColumn="0" w:firstRowLastColumn="0" w:lastRowFirstColumn="0" w:lastRowLastColumn="0"/>
            </w:pPr>
            <w:r>
              <w:t>Transactional outbox; prune published</w:t>
            </w:r>
          </w:p>
        </w:tc>
      </w:tr>
      <w:tr w:rsidR="00DE6229" w14:paraId="067987C8"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BC4A33" w14:textId="77777777" w:rsidR="00DE6229" w:rsidRDefault="00000000">
            <w:r>
              <w:t>alembic_version</w:t>
            </w:r>
          </w:p>
        </w:tc>
        <w:tc>
          <w:tcPr>
            <w:tcW w:w="2160" w:type="dxa"/>
          </w:tcPr>
          <w:p w14:paraId="49776430" w14:textId="77777777" w:rsidR="00DE6229" w:rsidRDefault="00000000">
            <w:pPr>
              <w:cnfStyle w:val="000000010000" w:firstRow="0" w:lastRow="0" w:firstColumn="0" w:lastColumn="0" w:oddVBand="0" w:evenVBand="0" w:oddHBand="0" w:evenHBand="1" w:firstRowFirstColumn="0" w:firstRowLastColumn="0" w:lastRowFirstColumn="0" w:lastRowLastColumn="0"/>
            </w:pPr>
            <w:r>
              <w:t>ops</w:t>
            </w:r>
          </w:p>
        </w:tc>
        <w:tc>
          <w:tcPr>
            <w:tcW w:w="2160" w:type="dxa"/>
          </w:tcPr>
          <w:p w14:paraId="044B613B" w14:textId="77777777" w:rsidR="00DE6229"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ADDB51A" w14:textId="77777777" w:rsidR="00DE6229" w:rsidRDefault="00000000">
            <w:pPr>
              <w:cnfStyle w:val="000000010000" w:firstRow="0" w:lastRow="0" w:firstColumn="0" w:lastColumn="0" w:oddVBand="0" w:evenVBand="0" w:oddHBand="0" w:evenHBand="1" w:firstRowFirstColumn="0" w:firstRowLastColumn="0" w:lastRowFirstColumn="0" w:lastRowLastColumn="0"/>
            </w:pPr>
            <w:r>
              <w:t>Migration bookkeeping</w:t>
            </w:r>
          </w:p>
        </w:tc>
      </w:tr>
      <w:tr w:rsidR="00DE6229" w14:paraId="06E3E120"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5AB541" w14:textId="77777777" w:rsidR="00DE6229" w:rsidRDefault="00000000">
            <w:r>
              <w:t>schema_migrations</w:t>
            </w:r>
          </w:p>
        </w:tc>
        <w:tc>
          <w:tcPr>
            <w:tcW w:w="2160" w:type="dxa"/>
          </w:tcPr>
          <w:p w14:paraId="55E88841" w14:textId="77777777" w:rsidR="00DE6229" w:rsidRDefault="00000000">
            <w:pPr>
              <w:cnfStyle w:val="000000100000" w:firstRow="0" w:lastRow="0" w:firstColumn="0" w:lastColumn="0" w:oddVBand="0" w:evenVBand="0" w:oddHBand="1" w:evenHBand="0" w:firstRowFirstColumn="0" w:firstRowLastColumn="0" w:lastRowFirstColumn="0" w:lastRowLastColumn="0"/>
            </w:pPr>
            <w:r>
              <w:t>ops</w:t>
            </w:r>
          </w:p>
        </w:tc>
        <w:tc>
          <w:tcPr>
            <w:tcW w:w="2160" w:type="dxa"/>
          </w:tcPr>
          <w:p w14:paraId="54C01960" w14:textId="77777777" w:rsidR="00DE6229"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89A6A10" w14:textId="77777777" w:rsidR="00DE6229" w:rsidRDefault="00000000">
            <w:pPr>
              <w:cnfStyle w:val="000000100000" w:firstRow="0" w:lastRow="0" w:firstColumn="0" w:lastColumn="0" w:oddVBand="0" w:evenVBand="0" w:oddHBand="1" w:evenHBand="0" w:firstRowFirstColumn="0" w:firstRowLastColumn="0" w:lastRowFirstColumn="0" w:lastRowLastColumn="0"/>
            </w:pPr>
            <w:r>
              <w:t>Migration bookkeeping</w:t>
            </w:r>
          </w:p>
        </w:tc>
      </w:tr>
    </w:tbl>
    <w:p w14:paraId="6F403F05" w14:textId="77777777" w:rsidR="00DE6229" w:rsidRDefault="00DE6229"/>
    <w:p w14:paraId="0EBE9E14" w14:textId="77777777" w:rsidR="00DE6229" w:rsidRDefault="00000000">
      <w:r>
        <w:rPr>
          <w:i/>
        </w:rPr>
        <w:t>Total: 61 tables mapped. core = 42, reference = 13, compliance = 3, ops = 3.</w:t>
      </w:r>
    </w:p>
    <w:p w14:paraId="41C31119" w14:textId="77777777" w:rsidR="00DE6229" w:rsidRDefault="00000000">
      <w:pPr>
        <w:pStyle w:val="Heading1"/>
      </w:pPr>
      <w:r>
        <w:t>6. Future Compliance Objects (Layer 5, gated)</w:t>
      </w:r>
    </w:p>
    <w:p w14:paraId="7373CFE2" w14:textId="77777777" w:rsidR="00DE6229" w:rsidRDefault="00000000">
      <w:r>
        <w:t>These come from the Closure Schema Change Requirements document. They are NOT built by this architecture and are listed only so the reader sees where they will live. All are gated on legal sign-off (Blocker 2).</w:t>
      </w:r>
    </w:p>
    <w:tbl>
      <w:tblPr>
        <w:tblStyle w:val="LightGrid-Accent1"/>
        <w:tblW w:w="0" w:type="auto"/>
        <w:tblLook w:val="04A0" w:firstRow="1" w:lastRow="0" w:firstColumn="1" w:lastColumn="0" w:noHBand="0" w:noVBand="1"/>
      </w:tblPr>
      <w:tblGrid>
        <w:gridCol w:w="4365"/>
        <w:gridCol w:w="4320"/>
      </w:tblGrid>
      <w:tr w:rsidR="00DE6229" w14:paraId="723D040C" w14:textId="77777777" w:rsidTr="00DE6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FB0F35" w14:textId="77777777" w:rsidR="00DE6229" w:rsidRDefault="00000000">
            <w:r>
              <w:t>Object (target schema)</w:t>
            </w:r>
          </w:p>
        </w:tc>
        <w:tc>
          <w:tcPr>
            <w:tcW w:w="4320" w:type="dxa"/>
          </w:tcPr>
          <w:p w14:paraId="068332B5" w14:textId="77777777" w:rsidR="00DE6229" w:rsidRDefault="00000000">
            <w:pPr>
              <w:cnfStyle w:val="100000000000" w:firstRow="1" w:lastRow="0" w:firstColumn="0" w:lastColumn="0" w:oddVBand="0" w:evenVBand="0" w:oddHBand="0" w:evenHBand="0" w:firstRowFirstColumn="0" w:firstRowLastColumn="0" w:lastRowFirstColumn="0" w:lastRowLastColumn="0"/>
            </w:pPr>
            <w:r>
              <w:t>Priority / policy section</w:t>
            </w:r>
          </w:p>
        </w:tc>
      </w:tr>
      <w:tr w:rsidR="00DE6229" w14:paraId="5EF8A813"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D12657" w14:textId="77777777" w:rsidR="00DE6229" w:rsidRDefault="00000000">
            <w:r>
              <w:t>compliance.erasure_requests + erasure_request_items</w:t>
            </w:r>
          </w:p>
        </w:tc>
        <w:tc>
          <w:tcPr>
            <w:tcW w:w="4320" w:type="dxa"/>
          </w:tcPr>
          <w:p w14:paraId="57B89352" w14:textId="77777777" w:rsidR="00DE6229" w:rsidRDefault="00000000">
            <w:pPr>
              <w:cnfStyle w:val="000000100000" w:firstRow="0" w:lastRow="0" w:firstColumn="0" w:lastColumn="0" w:oddVBand="0" w:evenVBand="0" w:oddHBand="1" w:evenHBand="0" w:firstRowFirstColumn="0" w:firstRowLastColumn="0" w:lastRowFirstColumn="0" w:lastRowLastColumn="0"/>
            </w:pPr>
            <w:r>
              <w:t>P0 — Section 3.5</w:t>
            </w:r>
          </w:p>
        </w:tc>
      </w:tr>
      <w:tr w:rsidR="00DE6229" w14:paraId="3C2FD86F"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54C157" w14:textId="77777777" w:rsidR="00DE6229" w:rsidRDefault="00000000">
            <w:r>
              <w:t>core.profiles / core.patients retention + anonymisation columns</w:t>
            </w:r>
          </w:p>
        </w:tc>
        <w:tc>
          <w:tcPr>
            <w:tcW w:w="4320" w:type="dxa"/>
          </w:tcPr>
          <w:p w14:paraId="4289D151" w14:textId="77777777" w:rsidR="00DE6229" w:rsidRDefault="00000000">
            <w:pPr>
              <w:cnfStyle w:val="000000010000" w:firstRow="0" w:lastRow="0" w:firstColumn="0" w:lastColumn="0" w:oddVBand="0" w:evenVBand="0" w:oddHBand="0" w:evenHBand="1" w:firstRowFirstColumn="0" w:firstRowLastColumn="0" w:lastRowFirstColumn="0" w:lastRowLastColumn="0"/>
            </w:pPr>
            <w:r>
              <w:t>P0 — Sections 6, 7</w:t>
            </w:r>
          </w:p>
        </w:tc>
      </w:tr>
      <w:tr w:rsidR="00DE6229" w14:paraId="273B5EAC"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8EE328" w14:textId="77777777" w:rsidR="00DE6229" w:rsidRDefault="00000000">
            <w:r>
              <w:t>compliance.data_portability_requests</w:t>
            </w:r>
          </w:p>
        </w:tc>
        <w:tc>
          <w:tcPr>
            <w:tcW w:w="4320" w:type="dxa"/>
          </w:tcPr>
          <w:p w14:paraId="0EAD3E4A" w14:textId="77777777" w:rsidR="00DE6229" w:rsidRDefault="00000000">
            <w:pPr>
              <w:cnfStyle w:val="000000100000" w:firstRow="0" w:lastRow="0" w:firstColumn="0" w:lastColumn="0" w:oddVBand="0" w:evenVBand="0" w:oddHBand="1" w:evenHBand="0" w:firstRowFirstColumn="0" w:firstRowLastColumn="0" w:lastRowFirstColumn="0" w:lastRowLastColumn="0"/>
            </w:pPr>
            <w:r>
              <w:t>P0 — Section 3.6</w:t>
            </w:r>
          </w:p>
        </w:tc>
      </w:tr>
      <w:tr w:rsidR="00DE6229" w14:paraId="72E1841F"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ABB265" w14:textId="77777777" w:rsidR="00DE6229" w:rsidRDefault="00000000">
            <w:r>
              <w:t>core.patients closure-state columns</w:t>
            </w:r>
          </w:p>
        </w:tc>
        <w:tc>
          <w:tcPr>
            <w:tcW w:w="4320" w:type="dxa"/>
          </w:tcPr>
          <w:p w14:paraId="74E79239" w14:textId="77777777" w:rsidR="00DE6229" w:rsidRDefault="00000000">
            <w:pPr>
              <w:cnfStyle w:val="000000010000" w:firstRow="0" w:lastRow="0" w:firstColumn="0" w:lastColumn="0" w:oddVBand="0" w:evenVBand="0" w:oddHBand="0" w:evenHBand="1" w:firstRowFirstColumn="0" w:firstRowLastColumn="0" w:lastRowFirstColumn="0" w:lastRowLastColumn="0"/>
            </w:pPr>
            <w:r>
              <w:t>P0 — Sections 3.1, 3.2</w:t>
            </w:r>
          </w:p>
        </w:tc>
      </w:tr>
      <w:tr w:rsidR="00DE6229" w14:paraId="0479487F"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969D5C" w14:textId="77777777" w:rsidR="00DE6229" w:rsidRDefault="00000000">
            <w:r>
              <w:t>Scheduled purge/anonymisation worker (partition-aware)</w:t>
            </w:r>
          </w:p>
        </w:tc>
        <w:tc>
          <w:tcPr>
            <w:tcW w:w="4320" w:type="dxa"/>
          </w:tcPr>
          <w:p w14:paraId="3D1FB541" w14:textId="77777777" w:rsidR="00DE6229" w:rsidRDefault="00000000">
            <w:pPr>
              <w:cnfStyle w:val="000000100000" w:firstRow="0" w:lastRow="0" w:firstColumn="0" w:lastColumn="0" w:oddVBand="0" w:evenVBand="0" w:oddHBand="1" w:evenHBand="0" w:firstRowFirstColumn="0" w:firstRowLastColumn="0" w:lastRowFirstColumn="0" w:lastRowLastColumn="0"/>
            </w:pPr>
            <w:r>
              <w:t>P0 — Sections 7.2, 7.3</w:t>
            </w:r>
          </w:p>
        </w:tc>
      </w:tr>
      <w:tr w:rsidR="00DE6229" w14:paraId="52C3DAAD"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DEE75C" w14:textId="77777777" w:rsidR="00DE6229" w:rsidRDefault="00000000">
            <w:r>
              <w:t>compliance.consent_records.guardian_id</w:t>
            </w:r>
          </w:p>
        </w:tc>
        <w:tc>
          <w:tcPr>
            <w:tcW w:w="4320" w:type="dxa"/>
          </w:tcPr>
          <w:p w14:paraId="715E893D" w14:textId="77777777" w:rsidR="00DE6229" w:rsidRDefault="00000000">
            <w:pPr>
              <w:cnfStyle w:val="000000010000" w:firstRow="0" w:lastRow="0" w:firstColumn="0" w:lastColumn="0" w:oddVBand="0" w:evenVBand="0" w:oddHBand="0" w:evenHBand="1" w:firstRowFirstColumn="0" w:firstRowLastColumn="0" w:lastRowFirstColumn="0" w:lastRowLastColumn="0"/>
            </w:pPr>
            <w:r>
              <w:t>P1 — Section 3.4</w:t>
            </w:r>
          </w:p>
        </w:tc>
      </w:tr>
      <w:tr w:rsidR="00DE6229" w14:paraId="1DD17491"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8FFE1" w14:textId="77777777" w:rsidR="00DE6229" w:rsidRDefault="00000000">
            <w:r>
              <w:t>compliance.staff_termination_authorizations</w:t>
            </w:r>
          </w:p>
        </w:tc>
        <w:tc>
          <w:tcPr>
            <w:tcW w:w="4320" w:type="dxa"/>
          </w:tcPr>
          <w:p w14:paraId="746D3D31" w14:textId="77777777" w:rsidR="00DE6229" w:rsidRDefault="00000000">
            <w:pPr>
              <w:cnfStyle w:val="000000100000" w:firstRow="0" w:lastRow="0" w:firstColumn="0" w:lastColumn="0" w:oddVBand="0" w:evenVBand="0" w:oddHBand="1" w:evenHBand="0" w:firstRowFirstColumn="0" w:firstRowLastColumn="0" w:lastRowFirstColumn="0" w:lastRowLastColumn="0"/>
            </w:pPr>
            <w:r>
              <w:t>P1 — Section 4.3</w:t>
            </w:r>
          </w:p>
        </w:tc>
      </w:tr>
      <w:tr w:rsidR="00DE6229" w14:paraId="42AAF0DA"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71AA95" w14:textId="77777777" w:rsidR="00DE6229" w:rsidRDefault="00000000">
            <w:r>
              <w:t>compliance.compliance_incidents</w:t>
            </w:r>
          </w:p>
        </w:tc>
        <w:tc>
          <w:tcPr>
            <w:tcW w:w="4320" w:type="dxa"/>
          </w:tcPr>
          <w:p w14:paraId="2EA9C9AE" w14:textId="77777777" w:rsidR="00DE6229" w:rsidRDefault="00000000">
            <w:pPr>
              <w:cnfStyle w:val="000000010000" w:firstRow="0" w:lastRow="0" w:firstColumn="0" w:lastColumn="0" w:oddVBand="0" w:evenVBand="0" w:oddHBand="0" w:evenHBand="1" w:firstRowFirstColumn="0" w:firstRowLastColumn="0" w:lastRowFirstColumn="0" w:lastRowLastColumn="0"/>
            </w:pPr>
            <w:r>
              <w:t>P1 — Section 10</w:t>
            </w:r>
          </w:p>
        </w:tc>
      </w:tr>
      <w:tr w:rsidR="00DE6229" w14:paraId="18901A9D"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6B077" w14:textId="77777777" w:rsidR="00DE6229" w:rsidRDefault="00000000">
            <w:r>
              <w:t>core.admins grievance_officer role type</w:t>
            </w:r>
          </w:p>
        </w:tc>
        <w:tc>
          <w:tcPr>
            <w:tcW w:w="4320" w:type="dxa"/>
          </w:tcPr>
          <w:p w14:paraId="570C93D4" w14:textId="77777777" w:rsidR="00DE6229" w:rsidRDefault="00000000">
            <w:pPr>
              <w:cnfStyle w:val="000000100000" w:firstRow="0" w:lastRow="0" w:firstColumn="0" w:lastColumn="0" w:oddVBand="0" w:evenVBand="0" w:oddHBand="1" w:evenHBand="0" w:firstRowFirstColumn="0" w:firstRowLastColumn="0" w:lastRowFirstColumn="0" w:lastRowLastColumn="0"/>
            </w:pPr>
            <w:r>
              <w:t>P1 — Section 11</w:t>
            </w:r>
          </w:p>
        </w:tc>
      </w:tr>
      <w:tr w:rsidR="00DE6229" w14:paraId="7EA43931"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59B068" w14:textId="77777777" w:rsidR="00DE6229" w:rsidRDefault="00000000">
            <w:r>
              <w:t>analytics schema (de-identified aggregates)</w:t>
            </w:r>
          </w:p>
        </w:tc>
        <w:tc>
          <w:tcPr>
            <w:tcW w:w="4320" w:type="dxa"/>
          </w:tcPr>
          <w:p w14:paraId="6AD16889" w14:textId="77777777" w:rsidR="00DE6229" w:rsidRDefault="00000000">
            <w:pPr>
              <w:cnfStyle w:val="000000010000" w:firstRow="0" w:lastRow="0" w:firstColumn="0" w:lastColumn="0" w:oddVBand="0" w:evenVBand="0" w:oddHBand="0" w:evenHBand="1" w:firstRowFirstColumn="0" w:firstRowLastColumn="0" w:lastRowFirstColumn="0" w:lastRowLastColumn="0"/>
            </w:pPr>
            <w:r>
              <w:t>P2 — Section 8</w:t>
            </w:r>
          </w:p>
        </w:tc>
      </w:tr>
      <w:tr w:rsidR="00DE6229" w14:paraId="47C25FA9"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32FC84" w14:textId="77777777" w:rsidR="00DE6229" w:rsidRDefault="00000000">
            <w:r>
              <w:t>compliance.manual_snapshots</w:t>
            </w:r>
          </w:p>
        </w:tc>
        <w:tc>
          <w:tcPr>
            <w:tcW w:w="4320" w:type="dxa"/>
          </w:tcPr>
          <w:p w14:paraId="280E4D90" w14:textId="77777777" w:rsidR="00DE6229" w:rsidRDefault="00000000">
            <w:pPr>
              <w:cnfStyle w:val="000000100000" w:firstRow="0" w:lastRow="0" w:firstColumn="0" w:lastColumn="0" w:oddVBand="0" w:evenVBand="0" w:oddHBand="1" w:evenHBand="0" w:firstRowFirstColumn="0" w:firstRowLastColumn="0" w:lastRowFirstColumn="0" w:lastRowLastColumn="0"/>
            </w:pPr>
            <w:r>
              <w:t>P2 — Section 7.3</w:t>
            </w:r>
          </w:p>
        </w:tc>
      </w:tr>
    </w:tbl>
    <w:p w14:paraId="06DCA1C7" w14:textId="77777777" w:rsidR="00DE6229" w:rsidRDefault="00000000">
      <w:r>
        <w:br w:type="page"/>
      </w:r>
    </w:p>
    <w:p w14:paraId="5936F86D" w14:textId="77777777" w:rsidR="00DE6229" w:rsidRDefault="00000000">
      <w:pPr>
        <w:pStyle w:val="Heading1"/>
      </w:pPr>
      <w:r>
        <w:lastRenderedPageBreak/>
        <w:t>7. The anava_v1 Build Approach</w:t>
      </w:r>
    </w:p>
    <w:p w14:paraId="2CE56316" w14:textId="77777777" w:rsidR="00DE6229" w:rsidRDefault="00000000">
      <w:r>
        <w:rPr>
          <w:b/>
        </w:rPr>
        <w:t xml:space="preserve">New database, not a new instance. </w:t>
      </w:r>
      <w:r>
        <w:t>anava_v1 is a new database on the existing RDS instance. Production currently runs on the default 'postgres' database — itself worth correcting. The six layer schemas (core, reference, compliance, analytics, archive, ops) live inside anava_v1.</w:t>
      </w:r>
    </w:p>
    <w:p w14:paraId="771715A3" w14:textId="77777777" w:rsidR="00DE6229" w:rsidRDefault="00000000">
      <w:r>
        <w:rPr>
          <w:b/>
        </w:rPr>
        <w:t xml:space="preserve">Naming. </w:t>
      </w:r>
      <w:r>
        <w:t>Recommend anava_v1 (lowercase, underscore). 'Anava-v1' contains a capital and a hyphen, which forces double-quoting in every query for the life of the database — a ten-year papercut. Final call is yours.</w:t>
      </w:r>
    </w:p>
    <w:p w14:paraId="4BA5F577" w14:textId="77777777" w:rsidR="00DE6229" w:rsidRDefault="00000000">
      <w:r>
        <w:rPr>
          <w:b/>
        </w:rPr>
        <w:t xml:space="preserve">Databases are isolated. </w:t>
      </w:r>
      <w:r>
        <w:t>PostgreSQL databases cannot join across each other and the application connects to exactly one via DATABASE_URL. anava_v1 is therefore a clean parallel build. The app is cut over to it in one switch once v1 is validated and data is migrated — not run against both at once.</w:t>
      </w:r>
    </w:p>
    <w:p w14:paraId="38C6BBC2" w14:textId="77777777" w:rsidR="00DE6229" w:rsidRDefault="00000000">
      <w:r>
        <w:rPr>
          <w:b/>
        </w:rPr>
        <w:t xml:space="preserve">Structure first, data later. </w:t>
      </w:r>
      <w:r>
        <w:t>The first build is DDL only: schemas, tables, enums, foreign keys, partitions, roles, indexes — an empty but fully-structured anava_v1. Production data migration is a separate, planned step that cannot begin until the Flow Pivot fork is resolved (Blocker 1).</w:t>
      </w:r>
    </w:p>
    <w:p w14:paraId="3B1DE009" w14:textId="77777777" w:rsidR="00DE6229" w:rsidRDefault="00000000">
      <w:r>
        <w:rPr>
          <w:b/>
        </w:rPr>
        <w:t xml:space="preserve">Local artifacts. </w:t>
      </w:r>
      <w:r>
        <w:t>All DDL is authored as ordered .sql files in SQL/v1/ in the repository, one file per layer, so the build is reviewable, version-controlled, and repeatable — not a set of ad-hoc statements run against RDS.</w:t>
      </w:r>
    </w:p>
    <w:p w14:paraId="04289BF4" w14:textId="77777777" w:rsidR="00DE6229" w:rsidRDefault="00000000">
      <w:pPr>
        <w:pStyle w:val="Heading1"/>
      </w:pPr>
      <w:r>
        <w:t>8. Build Sequence</w:t>
      </w:r>
    </w:p>
    <w:tbl>
      <w:tblPr>
        <w:tblStyle w:val="LightGrid-Accent1"/>
        <w:tblW w:w="0" w:type="auto"/>
        <w:tblLook w:val="04A0" w:firstRow="1" w:lastRow="0" w:firstColumn="1" w:lastColumn="0" w:noHBand="0" w:noVBand="1"/>
      </w:tblPr>
      <w:tblGrid>
        <w:gridCol w:w="2160"/>
        <w:gridCol w:w="2160"/>
        <w:gridCol w:w="2160"/>
        <w:gridCol w:w="2160"/>
      </w:tblGrid>
      <w:tr w:rsidR="00DE6229" w14:paraId="7B1F8CE2" w14:textId="77777777" w:rsidTr="00DE6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F39B96" w14:textId="77777777" w:rsidR="00DE6229" w:rsidRDefault="00000000">
            <w:r>
              <w:t>Phase</w:t>
            </w:r>
          </w:p>
        </w:tc>
        <w:tc>
          <w:tcPr>
            <w:tcW w:w="2160" w:type="dxa"/>
          </w:tcPr>
          <w:p w14:paraId="30A488F5" w14:textId="77777777" w:rsidR="00DE6229" w:rsidRDefault="00000000">
            <w:pPr>
              <w:cnfStyle w:val="100000000000" w:firstRow="1" w:lastRow="0" w:firstColumn="0" w:lastColumn="0" w:oddVBand="0" w:evenVBand="0" w:oddHBand="0" w:evenHBand="0" w:firstRowFirstColumn="0" w:firstRowLastColumn="0" w:lastRowFirstColumn="0" w:lastRowLastColumn="0"/>
            </w:pPr>
            <w:r>
              <w:t>Work</w:t>
            </w:r>
          </w:p>
        </w:tc>
        <w:tc>
          <w:tcPr>
            <w:tcW w:w="2160" w:type="dxa"/>
          </w:tcPr>
          <w:p w14:paraId="3326F313" w14:textId="77777777" w:rsidR="00DE6229" w:rsidRDefault="00000000">
            <w:pPr>
              <w:cnfStyle w:val="100000000000" w:firstRow="1" w:lastRow="0" w:firstColumn="0" w:lastColumn="0" w:oddVBand="0" w:evenVBand="0" w:oddHBand="0" w:evenHBand="0" w:firstRowFirstColumn="0" w:firstRowLastColumn="0" w:lastRowFirstColumn="0" w:lastRowLastColumn="0"/>
            </w:pPr>
            <w:r>
              <w:t>Detail</w:t>
            </w:r>
          </w:p>
        </w:tc>
        <w:tc>
          <w:tcPr>
            <w:tcW w:w="2160" w:type="dxa"/>
          </w:tcPr>
          <w:p w14:paraId="7847F218" w14:textId="77777777" w:rsidR="00DE6229" w:rsidRDefault="00000000">
            <w:pPr>
              <w:cnfStyle w:val="100000000000" w:firstRow="1" w:lastRow="0" w:firstColumn="0" w:lastColumn="0" w:oddVBand="0" w:evenVBand="0" w:oddHBand="0" w:evenHBand="0" w:firstRowFirstColumn="0" w:firstRowLastColumn="0" w:lastRowFirstColumn="0" w:lastRowLastColumn="0"/>
            </w:pPr>
            <w:r>
              <w:t>Gate</w:t>
            </w:r>
          </w:p>
        </w:tc>
      </w:tr>
      <w:tr w:rsidR="00DE6229" w14:paraId="06828C41"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6CB836" w14:textId="77777777" w:rsidR="00DE6229" w:rsidRDefault="00000000">
            <w:r>
              <w:t>Phase A</w:t>
            </w:r>
          </w:p>
        </w:tc>
        <w:tc>
          <w:tcPr>
            <w:tcW w:w="2160" w:type="dxa"/>
          </w:tcPr>
          <w:p w14:paraId="59E397B4" w14:textId="77777777" w:rsidR="00DE6229" w:rsidRDefault="00000000">
            <w:pPr>
              <w:cnfStyle w:val="000000100000" w:firstRow="0" w:lastRow="0" w:firstColumn="0" w:lastColumn="0" w:oddVBand="0" w:evenVBand="0" w:oddHBand="1" w:evenHBand="0" w:firstRowFirstColumn="0" w:firstRowLastColumn="0" w:lastRowFirstColumn="0" w:lastRowLastColumn="0"/>
            </w:pPr>
            <w:r>
              <w:t>Layer 1 + Layer 2 + Layer 3 DDL</w:t>
            </w:r>
          </w:p>
        </w:tc>
        <w:tc>
          <w:tcPr>
            <w:tcW w:w="2160" w:type="dxa"/>
          </w:tcPr>
          <w:p w14:paraId="0B3FB50D" w14:textId="77777777" w:rsidR="00DE6229" w:rsidRDefault="00000000">
            <w:pPr>
              <w:cnfStyle w:val="000000100000" w:firstRow="0" w:lastRow="0" w:firstColumn="0" w:lastColumn="0" w:oddVBand="0" w:evenVBand="0" w:oddHBand="1" w:evenHBand="0" w:firstRowFirstColumn="0" w:firstRowLastColumn="0" w:lastRowFirstColumn="0" w:lastRowLastColumn="0"/>
            </w:pPr>
            <w:r>
              <w:t>Schemas, all tables in their target schema, enums, foreign keys, roles, indexes. Empty anava_v1. Buildable now.</w:t>
            </w:r>
          </w:p>
        </w:tc>
        <w:tc>
          <w:tcPr>
            <w:tcW w:w="2160" w:type="dxa"/>
          </w:tcPr>
          <w:p w14:paraId="26117357" w14:textId="77777777" w:rsidR="00DE6229" w:rsidRDefault="00000000">
            <w:pPr>
              <w:cnfStyle w:val="000000100000" w:firstRow="0" w:lastRow="0" w:firstColumn="0" w:lastColumn="0" w:oddVBand="0" w:evenVBand="0" w:oddHBand="1" w:evenHBand="0" w:firstRowFirstColumn="0" w:firstRowLastColumn="0" w:lastRowFirstColumn="0" w:lastRowLastColumn="0"/>
            </w:pPr>
            <w:r>
              <w:t>Not blocked</w:t>
            </w:r>
          </w:p>
        </w:tc>
      </w:tr>
      <w:tr w:rsidR="00DE6229" w14:paraId="2C002540"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4B3D34" w14:textId="77777777" w:rsidR="00DE6229" w:rsidRDefault="00000000">
            <w:r>
              <w:t>Phase B</w:t>
            </w:r>
          </w:p>
        </w:tc>
        <w:tc>
          <w:tcPr>
            <w:tcW w:w="2160" w:type="dxa"/>
          </w:tcPr>
          <w:p w14:paraId="3677D872" w14:textId="77777777" w:rsidR="00DE6229" w:rsidRDefault="00000000">
            <w:pPr>
              <w:cnfStyle w:val="000000010000" w:firstRow="0" w:lastRow="0" w:firstColumn="0" w:lastColumn="0" w:oddVBand="0" w:evenVBand="0" w:oddHBand="0" w:evenHBand="1" w:firstRowFirstColumn="0" w:firstRowLastColumn="0" w:lastRowFirstColumn="0" w:lastRowLastColumn="0"/>
            </w:pPr>
            <w:r>
              <w:t>Layer 4 partitioning</w:t>
            </w:r>
          </w:p>
        </w:tc>
        <w:tc>
          <w:tcPr>
            <w:tcW w:w="2160" w:type="dxa"/>
          </w:tcPr>
          <w:p w14:paraId="2EB75E1D" w14:textId="77777777" w:rsidR="00DE6229" w:rsidRDefault="00000000">
            <w:pPr>
              <w:cnfStyle w:val="000000010000" w:firstRow="0" w:lastRow="0" w:firstColumn="0" w:lastColumn="0" w:oddVBand="0" w:evenVBand="0" w:oddHBand="0" w:evenHBand="1" w:firstRowFirstColumn="0" w:firstRowLastColumn="0" w:lastRowFirstColumn="0" w:lastRowLastColumn="0"/>
            </w:pPr>
            <w:r>
              <w:t>Partitioned versions of the append-only tables. Buildable now as part of the fresh DDL.</w:t>
            </w:r>
          </w:p>
        </w:tc>
        <w:tc>
          <w:tcPr>
            <w:tcW w:w="2160" w:type="dxa"/>
          </w:tcPr>
          <w:p w14:paraId="4BA24A10" w14:textId="77777777" w:rsidR="00DE6229" w:rsidRDefault="00000000">
            <w:pPr>
              <w:cnfStyle w:val="000000010000" w:firstRow="0" w:lastRow="0" w:firstColumn="0" w:lastColumn="0" w:oddVBand="0" w:evenVBand="0" w:oddHBand="0" w:evenHBand="1" w:firstRowFirstColumn="0" w:firstRowLastColumn="0" w:lastRowFirstColumn="0" w:lastRowLastColumn="0"/>
            </w:pPr>
            <w:r>
              <w:t>Not blocked</w:t>
            </w:r>
          </w:p>
        </w:tc>
      </w:tr>
      <w:tr w:rsidR="00DE6229" w14:paraId="0BE04C33"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A1CF22" w14:textId="77777777" w:rsidR="00DE6229" w:rsidRDefault="00000000">
            <w:r>
              <w:t>Phase C</w:t>
            </w:r>
          </w:p>
        </w:tc>
        <w:tc>
          <w:tcPr>
            <w:tcW w:w="2160" w:type="dxa"/>
          </w:tcPr>
          <w:p w14:paraId="06941EC0" w14:textId="77777777" w:rsidR="00DE6229" w:rsidRDefault="00000000">
            <w:pPr>
              <w:cnfStyle w:val="000000100000" w:firstRow="0" w:lastRow="0" w:firstColumn="0" w:lastColumn="0" w:oddVBand="0" w:evenVBand="0" w:oddHBand="1" w:evenHBand="0" w:firstRowFirstColumn="0" w:firstRowLastColumn="0" w:lastRowFirstColumn="0" w:lastRowLastColumn="0"/>
            </w:pPr>
            <w:r>
              <w:t>Flow Pivot resolution</w:t>
            </w:r>
          </w:p>
        </w:tc>
        <w:tc>
          <w:tcPr>
            <w:tcW w:w="2160" w:type="dxa"/>
          </w:tcPr>
          <w:p w14:paraId="7B6C6597" w14:textId="77777777" w:rsidR="00DE6229" w:rsidRDefault="00000000">
            <w:pPr>
              <w:cnfStyle w:val="000000100000" w:firstRow="0" w:lastRow="0" w:firstColumn="0" w:lastColumn="0" w:oddVBand="0" w:evenVBand="0" w:oddHBand="1" w:evenHBand="0" w:firstRowFirstColumn="0" w:firstRowLastColumn="0" w:lastRowFirstColumn="0" w:lastRowLastColumn="0"/>
            </w:pPr>
            <w:r>
              <w:t>Decide one/both treatment models. Finalise core DDL accordingly.</w:t>
            </w:r>
          </w:p>
        </w:tc>
        <w:tc>
          <w:tcPr>
            <w:tcW w:w="2160" w:type="dxa"/>
          </w:tcPr>
          <w:p w14:paraId="08825AC1" w14:textId="77777777" w:rsidR="00DE6229" w:rsidRDefault="00000000">
            <w:pPr>
              <w:cnfStyle w:val="000000100000" w:firstRow="0" w:lastRow="0" w:firstColumn="0" w:lastColumn="0" w:oddVBand="0" w:evenVBand="0" w:oddHBand="1" w:evenHBand="0" w:firstRowFirstColumn="0" w:firstRowLastColumn="0" w:lastRowFirstColumn="0" w:lastRowLastColumn="0"/>
            </w:pPr>
            <w:r>
              <w:t>Blocker 1 (doctor sign-off)</w:t>
            </w:r>
          </w:p>
        </w:tc>
      </w:tr>
      <w:tr w:rsidR="00DE6229" w14:paraId="06D1908A"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D7E8D7" w14:textId="77777777" w:rsidR="00DE6229" w:rsidRDefault="00000000">
            <w:r>
              <w:t>Phase D</w:t>
            </w:r>
          </w:p>
        </w:tc>
        <w:tc>
          <w:tcPr>
            <w:tcW w:w="2160" w:type="dxa"/>
          </w:tcPr>
          <w:p w14:paraId="140C4F4F" w14:textId="77777777" w:rsidR="00DE6229" w:rsidRDefault="00000000">
            <w:pPr>
              <w:cnfStyle w:val="000000010000" w:firstRow="0" w:lastRow="0" w:firstColumn="0" w:lastColumn="0" w:oddVBand="0" w:evenVBand="0" w:oddHBand="0" w:evenHBand="1" w:firstRowFirstColumn="0" w:firstRowLastColumn="0" w:lastRowFirstColumn="0" w:lastRowLastColumn="0"/>
            </w:pPr>
            <w:r>
              <w:t>Data migration</w:t>
            </w:r>
          </w:p>
        </w:tc>
        <w:tc>
          <w:tcPr>
            <w:tcW w:w="2160" w:type="dxa"/>
          </w:tcPr>
          <w:p w14:paraId="374B3CF3" w14:textId="77777777" w:rsidR="00DE6229" w:rsidRDefault="00000000">
            <w:pPr>
              <w:cnfStyle w:val="000000010000" w:firstRow="0" w:lastRow="0" w:firstColumn="0" w:lastColumn="0" w:oddVBand="0" w:evenVBand="0" w:oddHBand="0" w:evenHBand="1" w:firstRowFirstColumn="0" w:firstRowLastColumn="0" w:lastRowFirstColumn="0" w:lastRowLastColumn="0"/>
            </w:pPr>
            <w:r>
              <w:t>One-time copy from production into anava_v1, validated.</w:t>
            </w:r>
          </w:p>
        </w:tc>
        <w:tc>
          <w:tcPr>
            <w:tcW w:w="2160" w:type="dxa"/>
          </w:tcPr>
          <w:p w14:paraId="5C6E1968" w14:textId="77777777" w:rsidR="00DE6229" w:rsidRDefault="00000000">
            <w:pPr>
              <w:cnfStyle w:val="000000010000" w:firstRow="0" w:lastRow="0" w:firstColumn="0" w:lastColumn="0" w:oddVBand="0" w:evenVBand="0" w:oddHBand="0" w:evenHBand="1" w:firstRowFirstColumn="0" w:firstRowLastColumn="0" w:lastRowFirstColumn="0" w:lastRowLastColumn="0"/>
            </w:pPr>
            <w:r>
              <w:t>After Phase C</w:t>
            </w:r>
          </w:p>
        </w:tc>
      </w:tr>
      <w:tr w:rsidR="00DE6229" w14:paraId="054E0E7B"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A2A4DF" w14:textId="77777777" w:rsidR="00DE6229" w:rsidRDefault="00000000">
            <w:r>
              <w:t>Phase E</w:t>
            </w:r>
          </w:p>
        </w:tc>
        <w:tc>
          <w:tcPr>
            <w:tcW w:w="2160" w:type="dxa"/>
          </w:tcPr>
          <w:p w14:paraId="6A9BD554" w14:textId="77777777" w:rsidR="00DE6229" w:rsidRDefault="00000000">
            <w:pPr>
              <w:cnfStyle w:val="000000100000" w:firstRow="0" w:lastRow="0" w:firstColumn="0" w:lastColumn="0" w:oddVBand="0" w:evenVBand="0" w:oddHBand="1" w:evenHBand="0" w:firstRowFirstColumn="0" w:firstRowLastColumn="0" w:lastRowFirstColumn="0" w:lastRowLastColumn="0"/>
            </w:pPr>
            <w:r>
              <w:t xml:space="preserve">Layer 5 compliance objects + purge </w:t>
            </w:r>
            <w:r>
              <w:lastRenderedPageBreak/>
              <w:t>worker</w:t>
            </w:r>
          </w:p>
        </w:tc>
        <w:tc>
          <w:tcPr>
            <w:tcW w:w="2160" w:type="dxa"/>
          </w:tcPr>
          <w:p w14:paraId="7753DAF1" w14:textId="77777777" w:rsidR="00DE6229"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Build the compliance tables and retention </w:t>
            </w:r>
            <w:r>
              <w:lastRenderedPageBreak/>
              <w:t>lifecycle.</w:t>
            </w:r>
          </w:p>
        </w:tc>
        <w:tc>
          <w:tcPr>
            <w:tcW w:w="2160" w:type="dxa"/>
          </w:tcPr>
          <w:p w14:paraId="6703512D" w14:textId="77777777" w:rsidR="00DE6229" w:rsidRDefault="00000000">
            <w:pPr>
              <w:cnfStyle w:val="000000100000" w:firstRow="0" w:lastRow="0" w:firstColumn="0" w:lastColumn="0" w:oddVBand="0" w:evenVBand="0" w:oddHBand="1" w:evenHBand="0" w:firstRowFirstColumn="0" w:firstRowLastColumn="0" w:lastRowFirstColumn="0" w:lastRowLastColumn="0"/>
            </w:pPr>
            <w:r>
              <w:lastRenderedPageBreak/>
              <w:t>Blocker 2 (legal sign-off)</w:t>
            </w:r>
          </w:p>
        </w:tc>
      </w:tr>
      <w:tr w:rsidR="00DE6229" w14:paraId="5A8E6AD7" w14:textId="77777777" w:rsidTr="00DE62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8E4413" w14:textId="77777777" w:rsidR="00DE6229" w:rsidRDefault="00000000">
            <w:r>
              <w:t>Phase F</w:t>
            </w:r>
          </w:p>
        </w:tc>
        <w:tc>
          <w:tcPr>
            <w:tcW w:w="2160" w:type="dxa"/>
          </w:tcPr>
          <w:p w14:paraId="52D65A01" w14:textId="77777777" w:rsidR="00DE6229" w:rsidRDefault="00000000">
            <w:pPr>
              <w:cnfStyle w:val="000000010000" w:firstRow="0" w:lastRow="0" w:firstColumn="0" w:lastColumn="0" w:oddVBand="0" w:evenVBand="0" w:oddHBand="0" w:evenHBand="1" w:firstRowFirstColumn="0" w:firstRowLastColumn="0" w:lastRowFirstColumn="0" w:lastRowLastColumn="0"/>
            </w:pPr>
            <w:r>
              <w:t>Layers 6-8 operational hardening</w:t>
            </w:r>
          </w:p>
        </w:tc>
        <w:tc>
          <w:tcPr>
            <w:tcW w:w="2160" w:type="dxa"/>
          </w:tcPr>
          <w:p w14:paraId="0447AEAF" w14:textId="77777777" w:rsidR="00DE6229" w:rsidRDefault="00000000">
            <w:pPr>
              <w:cnfStyle w:val="000000010000" w:firstRow="0" w:lastRow="0" w:firstColumn="0" w:lastColumn="0" w:oddVBand="0" w:evenVBand="0" w:oddHBand="0" w:evenHBand="1" w:firstRowFirstColumn="0" w:firstRowLastColumn="0" w:lastRowFirstColumn="0" w:lastRowLastColumn="0"/>
            </w:pPr>
            <w:r>
              <w:t>Migration rules, observability, DR. Rolled in over time.</w:t>
            </w:r>
          </w:p>
        </w:tc>
        <w:tc>
          <w:tcPr>
            <w:tcW w:w="2160" w:type="dxa"/>
          </w:tcPr>
          <w:p w14:paraId="4D052CA4" w14:textId="77777777" w:rsidR="00DE6229" w:rsidRDefault="00000000">
            <w:pPr>
              <w:cnfStyle w:val="000000010000" w:firstRow="0" w:lastRow="0" w:firstColumn="0" w:lastColumn="0" w:oddVBand="0" w:evenVBand="0" w:oddHBand="0" w:evenHBand="1" w:firstRowFirstColumn="0" w:firstRowLastColumn="0" w:lastRowFirstColumn="0" w:lastRowLastColumn="0"/>
            </w:pPr>
            <w:r>
              <w:t>Not blocked</w:t>
            </w:r>
          </w:p>
        </w:tc>
      </w:tr>
      <w:tr w:rsidR="00DE6229" w14:paraId="79EF23C8" w14:textId="77777777" w:rsidTr="00DE6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A59D16" w14:textId="77777777" w:rsidR="00DE6229" w:rsidRDefault="00000000">
            <w:r>
              <w:t>Phase G</w:t>
            </w:r>
          </w:p>
        </w:tc>
        <w:tc>
          <w:tcPr>
            <w:tcW w:w="2160" w:type="dxa"/>
          </w:tcPr>
          <w:p w14:paraId="00882CD0" w14:textId="77777777" w:rsidR="00DE6229" w:rsidRDefault="00000000">
            <w:pPr>
              <w:cnfStyle w:val="000000100000" w:firstRow="0" w:lastRow="0" w:firstColumn="0" w:lastColumn="0" w:oddVBand="0" w:evenVBand="0" w:oddHBand="1" w:evenHBand="0" w:firstRowFirstColumn="0" w:firstRowLastColumn="0" w:lastRowFirstColumn="0" w:lastRowLastColumn="0"/>
            </w:pPr>
            <w:r>
              <w:t>Application cutover</w:t>
            </w:r>
          </w:p>
        </w:tc>
        <w:tc>
          <w:tcPr>
            <w:tcW w:w="2160" w:type="dxa"/>
          </w:tcPr>
          <w:p w14:paraId="032BD68C" w14:textId="77777777" w:rsidR="00DE6229" w:rsidRDefault="00000000">
            <w:pPr>
              <w:cnfStyle w:val="000000100000" w:firstRow="0" w:lastRow="0" w:firstColumn="0" w:lastColumn="0" w:oddVBand="0" w:evenVBand="0" w:oddHBand="1" w:evenHBand="0" w:firstRowFirstColumn="0" w:firstRowLastColumn="0" w:lastRowFirstColumn="0" w:lastRowLastColumn="0"/>
            </w:pPr>
            <w:r>
              <w:t>Point DATABASE_URL at anava_v1. Qualify table references / set search_path.</w:t>
            </w:r>
          </w:p>
        </w:tc>
        <w:tc>
          <w:tcPr>
            <w:tcW w:w="2160" w:type="dxa"/>
          </w:tcPr>
          <w:p w14:paraId="43D26811" w14:textId="77777777" w:rsidR="00DE6229" w:rsidRDefault="00000000">
            <w:pPr>
              <w:cnfStyle w:val="000000100000" w:firstRow="0" w:lastRow="0" w:firstColumn="0" w:lastColumn="0" w:oddVBand="0" w:evenVBand="0" w:oddHBand="1" w:evenHBand="0" w:firstRowFirstColumn="0" w:firstRowLastColumn="0" w:lastRowFirstColumn="0" w:lastRowLastColumn="0"/>
            </w:pPr>
            <w:r>
              <w:t>After Phases D-E</w:t>
            </w:r>
          </w:p>
        </w:tc>
      </w:tr>
    </w:tbl>
    <w:p w14:paraId="663CABCF" w14:textId="77777777" w:rsidR="00DE6229" w:rsidRDefault="00000000">
      <w:pPr>
        <w:pStyle w:val="Heading1"/>
      </w:pPr>
      <w:r>
        <w:t>9. Open Decisions Requiring Your Sign-Off</w:t>
      </w:r>
    </w:p>
    <w:p w14:paraId="409823A7" w14:textId="77777777" w:rsidR="00DE6229" w:rsidRDefault="00000000">
      <w:pPr>
        <w:pStyle w:val="ListBullet"/>
      </w:pPr>
      <w:r>
        <w:rPr>
          <w:b/>
        </w:rPr>
        <w:t xml:space="preserve">D1 — </w:t>
      </w:r>
      <w:r>
        <w:t>Database name: anava_v1 (recommended) vs Anava-v1 (as requested).</w:t>
      </w:r>
    </w:p>
    <w:p w14:paraId="279C9663" w14:textId="77777777" w:rsidR="00DE6229" w:rsidRDefault="00000000">
      <w:pPr>
        <w:pStyle w:val="ListBullet"/>
      </w:pPr>
      <w:r>
        <w:rPr>
          <w:b/>
        </w:rPr>
        <w:t xml:space="preserve">D2 — </w:t>
      </w:r>
      <w:r>
        <w:t>Flow Pivot: does anava_v1 carry both treatment models or commit to the post-pivot Appointment model? Needs the doctor decision before core DDL is final.</w:t>
      </w:r>
    </w:p>
    <w:p w14:paraId="3D4209D7" w14:textId="77777777" w:rsidR="00DE6229" w:rsidRDefault="00000000">
      <w:pPr>
        <w:pStyle w:val="ListBullet"/>
      </w:pPr>
      <w:r>
        <w:rPr>
          <w:b/>
        </w:rPr>
        <w:t xml:space="preserve">D3 — </w:t>
      </w:r>
      <w:r>
        <w:t>Reference schema: split static catalogue/config tables into their own schema (as designed) or keep them in core? The design recommends the split.</w:t>
      </w:r>
    </w:p>
    <w:p w14:paraId="29804796" w14:textId="77777777" w:rsidR="00DE6229" w:rsidRDefault="00000000">
      <w:pPr>
        <w:pStyle w:val="ListBullet"/>
      </w:pPr>
      <w:r>
        <w:rPr>
          <w:b/>
        </w:rPr>
        <w:t xml:space="preserve">D4 — </w:t>
      </w:r>
      <w:r>
        <w:t>Build target: confirm anava_v1 starts as empty structured DDL (recommended) rather than an immediate data copy.</w:t>
      </w:r>
    </w:p>
    <w:p w14:paraId="39470E19" w14:textId="77777777" w:rsidR="00DE6229" w:rsidRDefault="00000000">
      <w:pPr>
        <w:pStyle w:val="ListBullet"/>
      </w:pPr>
      <w:r>
        <w:rPr>
          <w:b/>
        </w:rPr>
        <w:t xml:space="preserve">D5 — </w:t>
      </w:r>
      <w:r>
        <w:t>Scope of first build: Phases A-B only (structure), or also stub the analytics/archive schemas now?</w:t>
      </w:r>
    </w:p>
    <w:p w14:paraId="75F4AF4B" w14:textId="77777777" w:rsidR="00DE6229" w:rsidRDefault="00DE6229"/>
    <w:p w14:paraId="46F5C4C2" w14:textId="77777777" w:rsidR="00DE6229" w:rsidRDefault="00000000">
      <w:r>
        <w:rPr>
          <w:b/>
          <w:color w:val="C00000"/>
        </w:rPr>
        <w:t>No database changes will be made until these are answered and the build is approved. On approval, Phase A-B DDL is authored into SQL/v1/ and executed against a newly created anava_v1 database.</w:t>
      </w:r>
    </w:p>
    <w:sectPr w:rsidR="00DE62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92049">
    <w:abstractNumId w:val="8"/>
  </w:num>
  <w:num w:numId="2" w16cid:durableId="90779058">
    <w:abstractNumId w:val="6"/>
  </w:num>
  <w:num w:numId="3" w16cid:durableId="1448310555">
    <w:abstractNumId w:val="5"/>
  </w:num>
  <w:num w:numId="4" w16cid:durableId="1406412539">
    <w:abstractNumId w:val="4"/>
  </w:num>
  <w:num w:numId="5" w16cid:durableId="937369646">
    <w:abstractNumId w:val="7"/>
  </w:num>
  <w:num w:numId="6" w16cid:durableId="411391797">
    <w:abstractNumId w:val="3"/>
  </w:num>
  <w:num w:numId="7" w16cid:durableId="1584683092">
    <w:abstractNumId w:val="2"/>
  </w:num>
  <w:num w:numId="8" w16cid:durableId="462045761">
    <w:abstractNumId w:val="1"/>
  </w:num>
  <w:num w:numId="9" w16cid:durableId="58441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876"/>
    <w:rsid w:val="00AA1D8D"/>
    <w:rsid w:val="00B214E4"/>
    <w:rsid w:val="00B47730"/>
    <w:rsid w:val="00CB0664"/>
    <w:rsid w:val="00DE6229"/>
    <w:rsid w:val="00F94D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AD438"/>
  <w14:defaultImageDpi w14:val="300"/>
  <w15:docId w15:val="{CCBCB054-5CF6-4818-A7A3-6B52EA8E3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3343</Words>
  <Characters>19058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Naidu</cp:lastModifiedBy>
  <cp:revision>2</cp:revision>
  <dcterms:created xsi:type="dcterms:W3CDTF">2013-12-23T23:15:00Z</dcterms:created>
  <dcterms:modified xsi:type="dcterms:W3CDTF">2026-07-20T14:28:00Z</dcterms:modified>
  <cp:category/>
</cp:coreProperties>
</file>