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56"/>
          <w:szCs w:val="56"/>
        </w:rPr>
        <w:t xml:space="preserve">Anava — NeuroWellness</w:t>
      </w:r>
    </w:p>
    <w:p>
      <w:pPr>
        <w:spacing w:after="60"/>
        <w:jc w:val="center"/>
      </w:pPr>
      <w:r>
        <w:rPr>
          <w:color w:val="2E75B6"/>
          <w:sz w:val="28"/>
          <w:szCs w:val="28"/>
        </w:rPr>
        <w:t xml:space="preserve">Account Closure, Data Retention &amp;
Regulatory Compliance Policy</w:t>
      </w:r>
    </w:p>
    <w:p>
      <w:pPr>
        <w:spacing w:after="400"/>
      </w:pPr>
      <w:r>
        <w:t xml:space="preserve"/>
      </w:r>
    </w:p>
    <w:p>
      <w:pPr>
        <w:pBdr>
          <w:top w:val="single" w:color="2E75B6" w:sz="6" w:space="6"/>
          <w:bottom w:val="single" w:color="2E75B6" w:sz="6" w:space="6"/>
        </w:pBdr>
        <w:spacing w:after="30"/>
        <w:jc w:val="center"/>
      </w:pPr>
      <w:r>
        <w:rPr>
          <w:color w:val="16365C"/>
          <w:sz w:val="20"/>
          <w:szCs w:val="20"/>
        </w:rPr>
        <w:t xml:space="preserve">  DPDP Act (India) • HIPAA Alignment • GDPR Readiness  </w:t>
      </w:r>
    </w:p>
    <w:p>
      <w:pPr>
        <w:spacing w:after="500"/>
      </w:pPr>
      <w:r>
        <w:t xml:space="preserve"/>
      </w:r>
    </w:p>
    <w:p>
      <w:pPr>
        <w:jc w:val="center"/>
      </w:pPr>
      <w:r>
        <w:rPr>
          <w:b/>
          <w:bCs/>
          <w:color w:val="1F4E79"/>
          <w:sz w:val="22"/>
          <w:szCs w:val="22"/>
        </w:rPr>
        <w:t xml:space="preserve">Version 1.0  •  Draft</w:t>
      </w:r>
    </w:p>
    <w:p>
      <w:pPr>
        <w:spacing w:after="30"/>
        <w:jc w:val="center"/>
      </w:pPr>
      <w:r>
        <w:rPr>
          <w:color w:val="595959"/>
          <w:sz w:val="20"/>
          <w:szCs w:val="20"/>
        </w:rPr>
        <w:t xml:space="preserve">July 2026</w:t>
      </w:r>
    </w:p>
    <w:p>
      <w:pPr>
        <w:spacing w:after="400"/>
      </w:pPr>
      <w:r>
        <w:t xml:space="preserve"/>
      </w:r>
    </w:p>
    <w:p>
      <w:pPr>
        <w:jc w:val="center"/>
      </w:pPr>
      <w:r>
        <w:rPr>
          <w:color w:val="333333"/>
          <w:sz w:val="19"/>
          <w:szCs w:val="19"/>
        </w:rPr>
        <w:t xml:space="preserve">Author: Amit Jape — Team Lead, PCS DatAI</w:t>
      </w:r>
    </w:p>
    <w:p>
      <w:pPr>
        <w:jc w:val="center"/>
      </w:pPr>
      <w:r>
        <w:rPr>
          <w:color w:val="333333"/>
          <w:sz w:val="19"/>
          <w:szCs w:val="19"/>
        </w:rPr>
        <w:t xml:space="preserve">Initial draft: Mohan Rao (Closure Policy v1) — incorporated and expanded</w:t>
      </w:r>
    </w:p>
    <w:p>
      <w:pPr>
        <w:jc w:val="center"/>
      </w:pPr>
      <w:r>
        <w:rPr>
          <w:b/>
          <w:bCs/>
          <w:color w:val="B02418"/>
          <w:sz w:val="19"/>
          <w:szCs w:val="19"/>
        </w:rPr>
        <w:t xml:space="preserve">For legal review before becoming operative</w:t>
      </w:r>
    </w:p>
    <w:p>
      <w:r>
        <w:br w:type="page"/>
      </w:r>
    </w:p>
    <w:p>
      <w:pPr>
        <w:sectPr>
          <w:pgSz w:w="11906" w:h="16838" w:orient="portrait"/>
          <w:pgMar w:top="1440" w:right="1440" w:bottom="1440" w:left="1440" w:header="708" w:footer="708" w:gutter="0"/>
          <w:pgNumType/>
          <w:docGrid w:linePitch="360"/>
        </w:sectPr>
      </w:pP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Attribute</w:t>
            </w:r>
          </w:p>
        </w:tc>
        <w:tc>
          <w:tcPr>
            <w:tcW w:type="dxa" w:w="62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Value</w:t>
            </w:r>
          </w:p>
        </w:tc>
      </w:tr>
      <w:tr>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Document name</w:t>
            </w:r>
          </w:p>
        </w:tc>
        <w:tc>
          <w:tcPr>
            <w:tcW w:type="dxa" w:w="6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Anava Account Closure, Data Retention &amp; Regulatory Compliance Policy</w:t>
            </w:r>
          </w:p>
        </w:tc>
      </w:tr>
      <w:tr>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Version</w:t>
            </w:r>
          </w:p>
        </w:tc>
        <w:tc>
          <w:tcPr>
            <w:tcW w:type="dxa" w:w="6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v1.0</w:t>
            </w:r>
          </w:p>
        </w:tc>
      </w:tr>
      <w:tr>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Status</w:t>
            </w:r>
          </w:p>
        </w:tc>
        <w:tc>
          <w:tcPr>
            <w:tcW w:type="dxa" w:w="6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bCs/>
                <w:color w:val="B02418"/>
                <w:sz w:val="19"/>
                <w:szCs w:val="19"/>
              </w:rPr>
              <w:t xml:space="preserve">Draft — requires legal review before becoming operative</w:t>
            </w:r>
          </w:p>
        </w:tc>
      </w:tr>
      <w:tr>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w:t>
            </w:r>
          </w:p>
        </w:tc>
        <w:tc>
          <w:tcPr>
            <w:tcW w:type="dxa" w:w="6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July 2026</w:t>
            </w:r>
          </w:p>
        </w:tc>
      </w:tr>
      <w:tr>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Author / owner</w:t>
            </w:r>
          </w:p>
        </w:tc>
        <w:tc>
          <w:tcPr>
            <w:tcW w:type="dxa" w:w="6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Amit Jape — Team Lead, PCS DatAI</w:t>
            </w:r>
          </w:p>
        </w:tc>
      </w:tr>
      <w:tr>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Contributing draft</w:t>
            </w:r>
          </w:p>
        </w:tc>
        <w:tc>
          <w:tcPr>
            <w:tcW w:type="dxa" w:w="6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Mohan Rao — Closure Policy v1 (incorporated; gap analysis in Appendix A)</w:t>
            </w:r>
          </w:p>
        </w:tc>
      </w:tr>
      <w:tr>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Scope</w:t>
            </w:r>
          </w:p>
        </w:tc>
        <w:tc>
          <w:tcPr>
            <w:tcW w:type="dxa" w:w="6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All user types (patients, staff, clinics) across all regions; all data stored on the Anava platform</w:t>
            </w:r>
          </w:p>
        </w:tc>
      </w:tr>
      <w:tr>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Regulatory coverage</w:t>
            </w:r>
          </w:p>
        </w:tc>
        <w:tc>
          <w:tcPr>
            <w:tcW w:type="dxa" w:w="6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India DPDP Act 2023; HIPAA alignment (voluntary); GDPR readiness (EU expansion); NMC/MCI medical-record retention; Consumer Protection Act 2019; Income Tax Act</w:t>
            </w:r>
          </w:p>
        </w:tc>
      </w:tr>
      <w:tr>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Target deployment</w:t>
            </w:r>
          </w:p>
        </w:tc>
        <w:tc>
          <w:tcPr>
            <w:tcW w:type="dxa" w:w="6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AWS (RDS PostgreSQL, S3, Cognito, ElastiCache, ECS, CloudWatch)</w:t>
            </w:r>
          </w:p>
        </w:tc>
      </w:tr>
      <w:tr>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Review cycle</w:t>
            </w:r>
          </w:p>
        </w:tc>
        <w:tc>
          <w:tcPr>
            <w:tcW w:type="dxa" w:w="6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Annual, or on material regulatory change, or on expansion to a new jurisdiction</w:t>
            </w:r>
          </w:p>
        </w:tc>
      </w:tr>
    </w:tbl>
    <w:p>
      <w:r>
        <w:br w:type="page"/>
      </w:r>
    </w:p>
    <w:p>
      <w:pPr>
        <w:pStyle w:val="Heading1"/>
      </w:pPr>
      <w:r>
        <w:t xml:space="preserve">Table of Contents</w:t>
      </w:r>
    </w:p>
    <w:p>
      <w:pPr>
        <w:spacing w:after="25" w:before="80" w:line="248"/>
        <w:ind w:left="0"/>
      </w:pPr>
      <w:r>
        <w:rPr>
          <w:b/>
          <w:bCs/>
          <w:color w:val="1F4E79"/>
          <w:sz w:val="21"/>
          <w:szCs w:val="21"/>
        </w:rPr>
        <w:t xml:space="preserve">1. Guiding Principles</w:t>
      </w:r>
      <w:r>
        <w:rPr>
          <w:b/>
          <w:bCs/>
          <w:color w:val="1F4E79"/>
          <w:sz w:val="21"/>
          <w:szCs w:val="21"/>
        </w:rPr>
        <w:ptab w:alignment="right" w:relativeTo="margin" w:leader="dot"/>
        <w:t xml:space="preserve">4</w:t>
      </w:r>
    </w:p>
    <w:p>
      <w:pPr>
        <w:spacing w:after="25" w:before="80" w:line="248"/>
        <w:ind w:left="0"/>
      </w:pPr>
      <w:r>
        <w:rPr>
          <w:b/>
          <w:bCs/>
          <w:color w:val="1F4E79"/>
          <w:sz w:val="21"/>
          <w:szCs w:val="21"/>
        </w:rPr>
        <w:t xml:space="preserve">2. Regulatory Framework</w:t>
      </w:r>
      <w:r>
        <w:rPr>
          <w:b/>
          <w:bCs/>
          <w:color w:val="1F4E79"/>
          <w:sz w:val="21"/>
          <w:szCs w:val="21"/>
        </w:rPr>
        <w:ptab w:alignment="right" w:relativeTo="margin" w:leader="dot"/>
        <w:t xml:space="preserve">5</w:t>
      </w:r>
    </w:p>
    <w:p>
      <w:pPr>
        <w:spacing w:after="20" w:before="0" w:line="248"/>
        <w:ind w:left="380"/>
      </w:pPr>
      <w:r>
        <w:rPr>
          <w:b w:val="false"/>
          <w:bCs w:val="false"/>
          <w:color w:val="333333"/>
          <w:sz w:val="20"/>
          <w:szCs w:val="20"/>
        </w:rPr>
        <w:t xml:space="preserve">2.1 India — DPDP Act 2023</w:t>
      </w:r>
      <w:r>
        <w:rPr>
          <w:b w:val="false"/>
          <w:bCs w:val="false"/>
          <w:color w:val="333333"/>
          <w:sz w:val="20"/>
          <w:szCs w:val="20"/>
        </w:rPr>
        <w:ptab w:alignment="right" w:relativeTo="margin" w:leader="dot"/>
        <w:t xml:space="preserve">5</w:t>
      </w:r>
    </w:p>
    <w:p>
      <w:pPr>
        <w:spacing w:after="20" w:before="0" w:line="248"/>
        <w:ind w:left="380"/>
      </w:pPr>
      <w:r>
        <w:rPr>
          <w:b w:val="false"/>
          <w:bCs w:val="false"/>
          <w:color w:val="333333"/>
          <w:sz w:val="20"/>
          <w:szCs w:val="20"/>
        </w:rPr>
        <w:t xml:space="preserve">2.2 HIPAA Alignment (voluntary)</w:t>
      </w:r>
      <w:r>
        <w:rPr>
          <w:b w:val="false"/>
          <w:bCs w:val="false"/>
          <w:color w:val="333333"/>
          <w:sz w:val="20"/>
          <w:szCs w:val="20"/>
        </w:rPr>
        <w:ptab w:alignment="right" w:relativeTo="margin" w:leader="dot"/>
        <w:t xml:space="preserve">5</w:t>
      </w:r>
    </w:p>
    <w:p>
      <w:pPr>
        <w:spacing w:after="20" w:before="0" w:line="248"/>
        <w:ind w:left="380"/>
      </w:pPr>
      <w:r>
        <w:rPr>
          <w:b w:val="false"/>
          <w:bCs w:val="false"/>
          <w:color w:val="333333"/>
          <w:sz w:val="20"/>
          <w:szCs w:val="20"/>
        </w:rPr>
        <w:t xml:space="preserve">2.3 EU — GDPR (future markets)</w:t>
      </w:r>
      <w:r>
        <w:rPr>
          <w:b w:val="false"/>
          <w:bCs w:val="false"/>
          <w:color w:val="333333"/>
          <w:sz w:val="20"/>
          <w:szCs w:val="20"/>
        </w:rPr>
        <w:ptab w:alignment="right" w:relativeTo="margin" w:leader="dot"/>
        <w:t xml:space="preserve">5</w:t>
      </w:r>
    </w:p>
    <w:p>
      <w:pPr>
        <w:spacing w:after="20" w:before="0" w:line="248"/>
        <w:ind w:left="380"/>
      </w:pPr>
      <w:r>
        <w:rPr>
          <w:b w:val="false"/>
          <w:bCs w:val="false"/>
          <w:color w:val="333333"/>
          <w:sz w:val="20"/>
          <w:szCs w:val="20"/>
        </w:rPr>
        <w:t xml:space="preserve">2.4 Indian Medical-Record Retention Law</w:t>
      </w:r>
      <w:r>
        <w:rPr>
          <w:b w:val="false"/>
          <w:bCs w:val="false"/>
          <w:color w:val="333333"/>
          <w:sz w:val="20"/>
          <w:szCs w:val="20"/>
        </w:rPr>
        <w:ptab w:alignment="right" w:relativeTo="margin" w:leader="dot"/>
        <w:t xml:space="preserve">6</w:t>
      </w:r>
    </w:p>
    <w:p>
      <w:pPr>
        <w:spacing w:after="25" w:before="80" w:line="248"/>
        <w:ind w:left="0"/>
      </w:pPr>
      <w:r>
        <w:rPr>
          <w:b/>
          <w:bCs/>
          <w:color w:val="1F4E79"/>
          <w:sz w:val="21"/>
          <w:szCs w:val="21"/>
        </w:rPr>
        <w:t xml:space="preserve">3. Patient Account Closure</w:t>
      </w:r>
      <w:r>
        <w:rPr>
          <w:b/>
          <w:bCs/>
          <w:color w:val="1F4E79"/>
          <w:sz w:val="21"/>
          <w:szCs w:val="21"/>
        </w:rPr>
        <w:ptab w:alignment="right" w:relativeTo="margin" w:leader="dot"/>
        <w:t xml:space="preserve">7</w:t>
      </w:r>
    </w:p>
    <w:p>
      <w:pPr>
        <w:spacing w:after="20" w:before="0" w:line="248"/>
        <w:ind w:left="380"/>
      </w:pPr>
      <w:r>
        <w:rPr>
          <w:b w:val="false"/>
          <w:bCs w:val="false"/>
          <w:color w:val="333333"/>
          <w:sz w:val="20"/>
          <w:szCs w:val="20"/>
        </w:rPr>
        <w:t xml:space="preserve">3.1 Voluntary Closure (patient-initiated)</w:t>
      </w:r>
      <w:r>
        <w:rPr>
          <w:b w:val="false"/>
          <w:bCs w:val="false"/>
          <w:color w:val="333333"/>
          <w:sz w:val="20"/>
          <w:szCs w:val="20"/>
        </w:rPr>
        <w:ptab w:alignment="right" w:relativeTo="margin" w:leader="dot"/>
        <w:t xml:space="preserve">7</w:t>
      </w:r>
    </w:p>
    <w:p>
      <w:pPr>
        <w:spacing w:after="20" w:before="0" w:line="248"/>
        <w:ind w:left="380"/>
      </w:pPr>
      <w:r>
        <w:rPr>
          <w:b w:val="false"/>
          <w:bCs w:val="false"/>
          <w:color w:val="333333"/>
          <w:sz w:val="20"/>
          <w:szCs w:val="20"/>
        </w:rPr>
        <w:t xml:space="preserve">3.2 Dormant / Inactive Closure (system-initiated)</w:t>
      </w:r>
      <w:r>
        <w:rPr>
          <w:b w:val="false"/>
          <w:bCs w:val="false"/>
          <w:color w:val="333333"/>
          <w:sz w:val="20"/>
          <w:szCs w:val="20"/>
        </w:rPr>
        <w:ptab w:alignment="right" w:relativeTo="margin" w:leader="dot"/>
        <w:t xml:space="preserve">7</w:t>
      </w:r>
    </w:p>
    <w:p>
      <w:pPr>
        <w:spacing w:after="20" w:before="0" w:line="248"/>
        <w:ind w:left="380"/>
      </w:pPr>
      <w:r>
        <w:rPr>
          <w:b w:val="false"/>
          <w:bCs w:val="false"/>
          <w:color w:val="333333"/>
          <w:sz w:val="20"/>
          <w:szCs w:val="20"/>
        </w:rPr>
        <w:t xml:space="preserve">3.3 Patient Clinic Transfer</w:t>
      </w:r>
      <w:r>
        <w:rPr>
          <w:b w:val="false"/>
          <w:bCs w:val="false"/>
          <w:color w:val="333333"/>
          <w:sz w:val="20"/>
          <w:szCs w:val="20"/>
        </w:rPr>
        <w:ptab w:alignment="right" w:relativeTo="margin" w:leader="dot"/>
        <w:t xml:space="preserve">8</w:t>
      </w:r>
    </w:p>
    <w:p>
      <w:pPr>
        <w:spacing w:after="20" w:before="0" w:line="248"/>
        <w:ind w:left="380"/>
      </w:pPr>
      <w:r>
        <w:rPr>
          <w:b w:val="false"/>
          <w:bCs w:val="false"/>
          <w:color w:val="333333"/>
          <w:sz w:val="20"/>
          <w:szCs w:val="20"/>
        </w:rPr>
        <w:t xml:space="preserve">3.4 Minor / Guardian Accounts</w:t>
      </w:r>
      <w:r>
        <w:rPr>
          <w:b w:val="false"/>
          <w:bCs w:val="false"/>
          <w:color w:val="333333"/>
          <w:sz w:val="20"/>
          <w:szCs w:val="20"/>
        </w:rPr>
        <w:ptab w:alignment="right" w:relativeTo="margin" w:leader="dot"/>
        <w:t xml:space="preserve">8</w:t>
      </w:r>
    </w:p>
    <w:p>
      <w:pPr>
        <w:spacing w:after="20" w:before="0" w:line="248"/>
        <w:ind w:left="380"/>
      </w:pPr>
      <w:r>
        <w:rPr>
          <w:b w:val="false"/>
          <w:bCs w:val="false"/>
          <w:color w:val="333333"/>
          <w:sz w:val="20"/>
          <w:szCs w:val="20"/>
        </w:rPr>
        <w:t xml:space="preserve">3.5 Patient Data Erasure Request</w:t>
      </w:r>
      <w:r>
        <w:rPr>
          <w:b w:val="false"/>
          <w:bCs w:val="false"/>
          <w:color w:val="333333"/>
          <w:sz w:val="20"/>
          <w:szCs w:val="20"/>
        </w:rPr>
        <w:ptab w:alignment="right" w:relativeTo="margin" w:leader="dot"/>
        <w:t xml:space="preserve">8</w:t>
      </w:r>
    </w:p>
    <w:p>
      <w:pPr>
        <w:spacing w:after="20" w:before="0" w:line="248"/>
        <w:ind w:left="380"/>
      </w:pPr>
      <w:r>
        <w:rPr>
          <w:b w:val="false"/>
          <w:bCs w:val="false"/>
          <w:color w:val="333333"/>
          <w:sz w:val="20"/>
          <w:szCs w:val="20"/>
        </w:rPr>
        <w:t xml:space="preserve">3.6 Patient Data Portability</w:t>
      </w:r>
      <w:r>
        <w:rPr>
          <w:b w:val="false"/>
          <w:bCs w:val="false"/>
          <w:color w:val="333333"/>
          <w:sz w:val="20"/>
          <w:szCs w:val="20"/>
        </w:rPr>
        <w:ptab w:alignment="right" w:relativeTo="margin" w:leader="dot"/>
        <w:t xml:space="preserve">9</w:t>
      </w:r>
    </w:p>
    <w:p>
      <w:pPr>
        <w:spacing w:after="25" w:before="80" w:line="248"/>
        <w:ind w:left="0"/>
      </w:pPr>
      <w:r>
        <w:rPr>
          <w:b/>
          <w:bCs/>
          <w:color w:val="1F4E79"/>
          <w:sz w:val="21"/>
          <w:szCs w:val="21"/>
        </w:rPr>
        <w:t xml:space="preserve">4. Staff Account Closure</w:t>
      </w:r>
      <w:r>
        <w:rPr>
          <w:b/>
          <w:bCs/>
          <w:color w:val="1F4E79"/>
          <w:sz w:val="21"/>
          <w:szCs w:val="21"/>
        </w:rPr>
        <w:ptab w:alignment="right" w:relativeTo="margin" w:leader="dot"/>
        <w:t xml:space="preserve">10</w:t>
      </w:r>
    </w:p>
    <w:p>
      <w:pPr>
        <w:spacing w:after="20" w:before="0" w:line="248"/>
        <w:ind w:left="380"/>
      </w:pPr>
      <w:r>
        <w:rPr>
          <w:b w:val="false"/>
          <w:bCs w:val="false"/>
          <w:color w:val="333333"/>
          <w:sz w:val="20"/>
          <w:szCs w:val="20"/>
        </w:rPr>
        <w:t xml:space="preserve">4.1 Voluntary (resignation)</w:t>
      </w:r>
      <w:r>
        <w:rPr>
          <w:b w:val="false"/>
          <w:bCs w:val="false"/>
          <w:color w:val="333333"/>
          <w:sz w:val="20"/>
          <w:szCs w:val="20"/>
        </w:rPr>
        <w:ptab w:alignment="right" w:relativeTo="margin" w:leader="dot"/>
        <w:t xml:space="preserve">10</w:t>
      </w:r>
    </w:p>
    <w:p>
      <w:pPr>
        <w:spacing w:after="20" w:before="0" w:line="248"/>
        <w:ind w:left="380"/>
      </w:pPr>
      <w:r>
        <w:rPr>
          <w:b w:val="false"/>
          <w:bCs w:val="false"/>
          <w:color w:val="333333"/>
          <w:sz w:val="20"/>
          <w:szCs w:val="20"/>
        </w:rPr>
        <w:t xml:space="preserve">4.2 Involuntary — no-cause</w:t>
      </w:r>
      <w:r>
        <w:rPr>
          <w:b w:val="false"/>
          <w:bCs w:val="false"/>
          <w:color w:val="333333"/>
          <w:sz w:val="20"/>
          <w:szCs w:val="20"/>
        </w:rPr>
        <w:ptab w:alignment="right" w:relativeTo="margin" w:leader="dot"/>
        <w:t xml:space="preserve">10</w:t>
      </w:r>
    </w:p>
    <w:p>
      <w:pPr>
        <w:spacing w:after="20" w:before="0" w:line="248"/>
        <w:ind w:left="380"/>
      </w:pPr>
      <w:r>
        <w:rPr>
          <w:b w:val="false"/>
          <w:bCs w:val="false"/>
          <w:color w:val="333333"/>
          <w:sz w:val="20"/>
          <w:szCs w:val="20"/>
        </w:rPr>
        <w:t xml:space="preserve">4.3 Involuntary — for-cause</w:t>
      </w:r>
      <w:r>
        <w:rPr>
          <w:b w:val="false"/>
          <w:bCs w:val="false"/>
          <w:color w:val="333333"/>
          <w:sz w:val="20"/>
          <w:szCs w:val="20"/>
        </w:rPr>
        <w:ptab w:alignment="right" w:relativeTo="margin" w:leader="dot"/>
        <w:t xml:space="preserve">10</w:t>
      </w:r>
    </w:p>
    <w:p>
      <w:pPr>
        <w:spacing w:after="20" w:before="0" w:line="248"/>
        <w:ind w:left="380"/>
      </w:pPr>
      <w:r>
        <w:rPr>
          <w:b w:val="false"/>
          <w:bCs w:val="false"/>
          <w:color w:val="333333"/>
          <w:sz w:val="20"/>
          <w:szCs w:val="20"/>
        </w:rPr>
        <w:t xml:space="preserve">4.4 Staff Clinic Transfer</w:t>
      </w:r>
      <w:r>
        <w:rPr>
          <w:b w:val="false"/>
          <w:bCs w:val="false"/>
          <w:color w:val="333333"/>
          <w:sz w:val="20"/>
          <w:szCs w:val="20"/>
        </w:rPr>
        <w:ptab w:alignment="right" w:relativeTo="margin" w:leader="dot"/>
        <w:t xml:space="preserve">10</w:t>
      </w:r>
    </w:p>
    <w:p>
      <w:pPr>
        <w:spacing w:after="25" w:before="80" w:line="248"/>
        <w:ind w:left="0"/>
      </w:pPr>
      <w:r>
        <w:rPr>
          <w:b/>
          <w:bCs/>
          <w:color w:val="1F4E79"/>
          <w:sz w:val="21"/>
          <w:szCs w:val="21"/>
        </w:rPr>
        <w:t xml:space="preserve">5. Clinic Closure</w:t>
      </w:r>
      <w:r>
        <w:rPr>
          <w:b/>
          <w:bCs/>
          <w:color w:val="1F4E79"/>
          <w:sz w:val="21"/>
          <w:szCs w:val="21"/>
        </w:rPr>
        <w:ptab w:alignment="right" w:relativeTo="margin" w:leader="dot"/>
        <w:t xml:space="preserve">12</w:t>
      </w:r>
    </w:p>
    <w:p>
      <w:pPr>
        <w:spacing w:after="25" w:before="80" w:line="248"/>
        <w:ind w:left="0"/>
      </w:pPr>
      <w:r>
        <w:rPr>
          <w:b/>
          <w:bCs/>
          <w:color w:val="1F4E79"/>
          <w:sz w:val="21"/>
          <w:szCs w:val="21"/>
        </w:rPr>
        <w:t xml:space="preserve">6. Data Retention Schedule</w:t>
      </w:r>
      <w:r>
        <w:rPr>
          <w:b/>
          <w:bCs/>
          <w:color w:val="1F4E79"/>
          <w:sz w:val="21"/>
          <w:szCs w:val="21"/>
        </w:rPr>
        <w:ptab w:alignment="right" w:relativeTo="margin" w:leader="dot"/>
        <w:t xml:space="preserve">13</w:t>
      </w:r>
    </w:p>
    <w:p>
      <w:pPr>
        <w:spacing w:after="20" w:before="0" w:line="248"/>
        <w:ind w:left="380"/>
      </w:pPr>
      <w:r>
        <w:rPr>
          <w:b w:val="false"/>
          <w:bCs w:val="false"/>
          <w:color w:val="333333"/>
          <w:sz w:val="20"/>
          <w:szCs w:val="20"/>
        </w:rPr>
        <w:t xml:space="preserve">6.1 Clinical Records</w:t>
      </w:r>
      <w:r>
        <w:rPr>
          <w:b w:val="false"/>
          <w:bCs w:val="false"/>
          <w:color w:val="333333"/>
          <w:sz w:val="20"/>
          <w:szCs w:val="20"/>
        </w:rPr>
        <w:ptab w:alignment="right" w:relativeTo="margin" w:leader="dot"/>
        <w:t xml:space="preserve">13</w:t>
      </w:r>
    </w:p>
    <w:p>
      <w:pPr>
        <w:spacing w:after="20" w:before="0" w:line="248"/>
        <w:ind w:left="380"/>
      </w:pPr>
      <w:r>
        <w:rPr>
          <w:b w:val="false"/>
          <w:bCs w:val="false"/>
          <w:color w:val="333333"/>
          <w:sz w:val="20"/>
          <w:szCs w:val="20"/>
        </w:rPr>
        <w:t xml:space="preserve">6.2 Financial / Billing Records</w:t>
      </w:r>
      <w:r>
        <w:rPr>
          <w:b w:val="false"/>
          <w:bCs w:val="false"/>
          <w:color w:val="333333"/>
          <w:sz w:val="20"/>
          <w:szCs w:val="20"/>
        </w:rPr>
        <w:ptab w:alignment="right" w:relativeTo="margin" w:leader="dot"/>
        <w:t xml:space="preserve">13</w:t>
      </w:r>
    </w:p>
    <w:p>
      <w:pPr>
        <w:spacing w:after="20" w:before="0" w:line="248"/>
        <w:ind w:left="380"/>
      </w:pPr>
      <w:r>
        <w:rPr>
          <w:b w:val="false"/>
          <w:bCs w:val="false"/>
          <w:color w:val="333333"/>
          <w:sz w:val="20"/>
          <w:szCs w:val="20"/>
        </w:rPr>
        <w:t xml:space="preserve">6.3 Compliance &amp; Audit Records</w:t>
      </w:r>
      <w:r>
        <w:rPr>
          <w:b w:val="false"/>
          <w:bCs w:val="false"/>
          <w:color w:val="333333"/>
          <w:sz w:val="20"/>
          <w:szCs w:val="20"/>
        </w:rPr>
        <w:ptab w:alignment="right" w:relativeTo="margin" w:leader="dot"/>
        <w:t xml:space="preserve">13</w:t>
      </w:r>
    </w:p>
    <w:p>
      <w:pPr>
        <w:spacing w:after="20" w:before="0" w:line="248"/>
        <w:ind w:left="380"/>
      </w:pPr>
      <w:r>
        <w:rPr>
          <w:b w:val="false"/>
          <w:bCs w:val="false"/>
          <w:color w:val="333333"/>
          <w:sz w:val="20"/>
          <w:szCs w:val="20"/>
        </w:rPr>
        <w:t xml:space="preserve">6.4 Platform / System Records</w:t>
      </w:r>
      <w:r>
        <w:rPr>
          <w:b w:val="false"/>
          <w:bCs w:val="false"/>
          <w:color w:val="333333"/>
          <w:sz w:val="20"/>
          <w:szCs w:val="20"/>
        </w:rPr>
        <w:ptab w:alignment="right" w:relativeTo="margin" w:leader="dot"/>
        <w:t xml:space="preserve">14</w:t>
      </w:r>
    </w:p>
    <w:p>
      <w:pPr>
        <w:spacing w:after="20" w:before="0" w:line="248"/>
        <w:ind w:left="380"/>
      </w:pPr>
      <w:r>
        <w:rPr>
          <w:b w:val="false"/>
          <w:bCs w:val="false"/>
          <w:color w:val="333333"/>
          <w:sz w:val="20"/>
          <w:szCs w:val="20"/>
        </w:rPr>
        <w:t xml:space="preserve">6.5 Summary Table</w:t>
      </w:r>
      <w:r>
        <w:rPr>
          <w:b w:val="false"/>
          <w:bCs w:val="false"/>
          <w:color w:val="333333"/>
          <w:sz w:val="20"/>
          <w:szCs w:val="20"/>
        </w:rPr>
        <w:ptab w:alignment="right" w:relativeTo="margin" w:leader="dot"/>
        <w:t xml:space="preserve">14</w:t>
      </w:r>
    </w:p>
    <w:p>
      <w:pPr>
        <w:spacing w:after="25" w:before="80" w:line="248"/>
        <w:ind w:left="0"/>
      </w:pPr>
      <w:r>
        <w:rPr>
          <w:b/>
          <w:bCs/>
          <w:color w:val="1F4E79"/>
          <w:sz w:val="21"/>
          <w:szCs w:val="21"/>
        </w:rPr>
        <w:t xml:space="preserve">7. Data Deletion &amp; Anonymisation Procedure</w:t>
      </w:r>
      <w:r>
        <w:rPr>
          <w:b/>
          <w:bCs/>
          <w:color w:val="1F4E79"/>
          <w:sz w:val="21"/>
          <w:szCs w:val="21"/>
        </w:rPr>
        <w:ptab w:alignment="right" w:relativeTo="margin" w:leader="dot"/>
        <w:t xml:space="preserve">15</w:t>
      </w:r>
    </w:p>
    <w:p>
      <w:pPr>
        <w:spacing w:after="20" w:before="0" w:line="248"/>
        <w:ind w:left="380"/>
      </w:pPr>
      <w:r>
        <w:rPr>
          <w:b w:val="false"/>
          <w:bCs w:val="false"/>
          <w:color w:val="333333"/>
          <w:sz w:val="20"/>
          <w:szCs w:val="20"/>
        </w:rPr>
        <w:t xml:space="preserve">7.1 Classification Buckets</w:t>
      </w:r>
      <w:r>
        <w:rPr>
          <w:b w:val="false"/>
          <w:bCs w:val="false"/>
          <w:color w:val="333333"/>
          <w:sz w:val="20"/>
          <w:szCs w:val="20"/>
        </w:rPr>
        <w:ptab w:alignment="right" w:relativeTo="margin" w:leader="dot"/>
        <w:t xml:space="preserve">15</w:t>
      </w:r>
    </w:p>
    <w:p>
      <w:pPr>
        <w:spacing w:after="20" w:before="0" w:line="248"/>
        <w:ind w:left="380"/>
      </w:pPr>
      <w:r>
        <w:rPr>
          <w:b w:val="false"/>
          <w:bCs w:val="false"/>
          <w:color w:val="333333"/>
          <w:sz w:val="20"/>
          <w:szCs w:val="20"/>
        </w:rPr>
        <w:t xml:space="preserve">7.2 Technical Implementation</w:t>
      </w:r>
      <w:r>
        <w:rPr>
          <w:b w:val="false"/>
          <w:bCs w:val="false"/>
          <w:color w:val="333333"/>
          <w:sz w:val="20"/>
          <w:szCs w:val="20"/>
        </w:rPr>
        <w:ptab w:alignment="right" w:relativeTo="margin" w:leader="dot"/>
        <w:t xml:space="preserve">15</w:t>
      </w:r>
    </w:p>
    <w:p>
      <w:pPr>
        <w:spacing w:after="20" w:before="0" w:line="248"/>
        <w:ind w:left="380"/>
      </w:pPr>
      <w:r>
        <w:rPr>
          <w:b w:val="false"/>
          <w:bCs w:val="false"/>
          <w:color w:val="333333"/>
          <w:sz w:val="20"/>
          <w:szCs w:val="20"/>
        </w:rPr>
        <w:t xml:space="preserve">7.3 Backup Purge</w:t>
      </w:r>
      <w:r>
        <w:rPr>
          <w:b w:val="false"/>
          <w:bCs w:val="false"/>
          <w:color w:val="333333"/>
          <w:sz w:val="20"/>
          <w:szCs w:val="20"/>
        </w:rPr>
        <w:ptab w:alignment="right" w:relativeTo="margin" w:leader="dot"/>
        <w:t xml:space="preserve">16</w:t>
      </w:r>
    </w:p>
    <w:p>
      <w:pPr>
        <w:spacing w:after="25" w:before="80" w:line="248"/>
        <w:ind w:left="0"/>
      </w:pPr>
      <w:r>
        <w:rPr>
          <w:b/>
          <w:bCs/>
          <w:color w:val="1F4E79"/>
          <w:sz w:val="21"/>
          <w:szCs w:val="21"/>
        </w:rPr>
        <w:t xml:space="preserve">8. Business Analytics &amp; De-identified Data</w:t>
      </w:r>
      <w:r>
        <w:rPr>
          <w:b/>
          <w:bCs/>
          <w:color w:val="1F4E79"/>
          <w:sz w:val="21"/>
          <w:szCs w:val="21"/>
        </w:rPr>
        <w:ptab w:alignment="right" w:relativeTo="margin" w:leader="dot"/>
        <w:t xml:space="preserve">17</w:t>
      </w:r>
    </w:p>
    <w:p>
      <w:pPr>
        <w:spacing w:after="25" w:before="80" w:line="248"/>
        <w:ind w:left="0"/>
      </w:pPr>
      <w:r>
        <w:rPr>
          <w:b/>
          <w:bCs/>
          <w:color w:val="1F4E79"/>
          <w:sz w:val="21"/>
          <w:szCs w:val="21"/>
        </w:rPr>
        <w:t xml:space="preserve">9. Cross-Border Data Transfers</w:t>
      </w:r>
      <w:r>
        <w:rPr>
          <w:b/>
          <w:bCs/>
          <w:color w:val="1F4E79"/>
          <w:sz w:val="21"/>
          <w:szCs w:val="21"/>
        </w:rPr>
        <w:ptab w:alignment="right" w:relativeTo="margin" w:leader="dot"/>
        <w:t xml:space="preserve">18</w:t>
      </w:r>
    </w:p>
    <w:p>
      <w:pPr>
        <w:spacing w:after="25" w:before="80" w:line="248"/>
        <w:ind w:left="0"/>
      </w:pPr>
      <w:r>
        <w:rPr>
          <w:b/>
          <w:bCs/>
          <w:color w:val="1F4E79"/>
          <w:sz w:val="21"/>
          <w:szCs w:val="21"/>
        </w:rPr>
        <w:t xml:space="preserve">10. Breach Notification</w:t>
      </w:r>
      <w:r>
        <w:rPr>
          <w:b/>
          <w:bCs/>
          <w:color w:val="1F4E79"/>
          <w:sz w:val="21"/>
          <w:szCs w:val="21"/>
        </w:rPr>
        <w:ptab w:alignment="right" w:relativeTo="margin" w:leader="dot"/>
        <w:t xml:space="preserve">18</w:t>
      </w:r>
    </w:p>
    <w:p>
      <w:pPr>
        <w:spacing w:after="25" w:before="80" w:line="248"/>
        <w:ind w:left="0"/>
      </w:pPr>
      <w:r>
        <w:rPr>
          <w:b/>
          <w:bCs/>
          <w:color w:val="1F4E79"/>
          <w:sz w:val="21"/>
          <w:szCs w:val="21"/>
        </w:rPr>
        <w:t xml:space="preserve">11. Roles &amp; Responsibilities</w:t>
      </w:r>
      <w:r>
        <w:rPr>
          <w:b/>
          <w:bCs/>
          <w:color w:val="1F4E79"/>
          <w:sz w:val="21"/>
          <w:szCs w:val="21"/>
        </w:rPr>
        <w:ptab w:alignment="right" w:relativeTo="margin" w:leader="dot"/>
        <w:t xml:space="preserve">18</w:t>
      </w:r>
    </w:p>
    <w:p>
      <w:pPr>
        <w:spacing w:after="25" w:before="80" w:line="248"/>
        <w:ind w:left="0"/>
      </w:pPr>
      <w:r>
        <w:rPr>
          <w:b/>
          <w:bCs/>
          <w:color w:val="1F4E79"/>
          <w:sz w:val="21"/>
          <w:szCs w:val="21"/>
        </w:rPr>
        <w:t xml:space="preserve">12. Schema &amp; Architecture Mapping</w:t>
      </w:r>
      <w:r>
        <w:rPr>
          <w:b/>
          <w:bCs/>
          <w:color w:val="1F4E79"/>
          <w:sz w:val="21"/>
          <w:szCs w:val="21"/>
        </w:rPr>
        <w:ptab w:alignment="right" w:relativeTo="margin" w:leader="dot"/>
        <w:t xml:space="preserve">20</w:t>
      </w:r>
    </w:p>
    <w:p>
      <w:pPr>
        <w:spacing w:after="25" w:before="80" w:line="248"/>
        <w:ind w:left="0"/>
      </w:pPr>
      <w:r>
        <w:rPr>
          <w:b/>
          <w:bCs/>
          <w:color w:val="1F4E79"/>
          <w:sz w:val="21"/>
          <w:szCs w:val="21"/>
        </w:rPr>
        <w:t xml:space="preserve">13. Review Schedule &amp; Version Control</w:t>
      </w:r>
      <w:r>
        <w:rPr>
          <w:b/>
          <w:bCs/>
          <w:color w:val="1F4E79"/>
          <w:sz w:val="21"/>
          <w:szCs w:val="21"/>
        </w:rPr>
        <w:ptab w:alignment="right" w:relativeTo="margin" w:leader="dot"/>
        <w:t xml:space="preserve">21</w:t>
      </w:r>
    </w:p>
    <w:p>
      <w:pPr>
        <w:spacing w:after="25" w:before="80" w:line="248"/>
        <w:ind w:left="0"/>
      </w:pPr>
      <w:r>
        <w:rPr>
          <w:b/>
          <w:bCs/>
          <w:color w:val="1F4E79"/>
          <w:sz w:val="21"/>
          <w:szCs w:val="21"/>
        </w:rPr>
        <w:t xml:space="preserve">Appendix A — Review of MR’s Closure Policy v1</w:t>
      </w:r>
      <w:r>
        <w:rPr>
          <w:b/>
          <w:bCs/>
          <w:color w:val="1F4E79"/>
          <w:sz w:val="21"/>
          <w:szCs w:val="21"/>
        </w:rPr>
        <w:ptab w:alignment="right" w:relativeTo="margin" w:leader="dot"/>
        <w:t xml:space="preserve">22</w:t>
      </w:r>
    </w:p>
    <w:p>
      <w:r>
        <w:br w:type="page"/>
      </w:r>
    </w:p>
    <w:p>
      <w:pPr>
        <w:pStyle w:val="Heading1"/>
      </w:pPr>
      <w:r>
        <w:t xml:space="preserve">1. Guiding Principles</w:t>
      </w:r>
    </w:p>
    <w:p>
      <w:pPr>
        <w:pStyle w:val="ListParagraph"/>
        <w:numPr>
          <w:ilvl w:val="0"/>
          <w:numId w:val="2"/>
        </w:numPr>
        <w:spacing w:after="55" w:line="268"/>
      </w:pPr>
      <w:r>
        <w:t xml:space="preserve">Account closure and data erasure are separate actions with different triggers, timelines, and legal constraints. Closure deactivates access; erasure deletes data. They must never be conflated into a single button.</w:t>
      </w:r>
    </w:p>
    <w:p>
      <w:pPr>
        <w:pStyle w:val="ListParagraph"/>
        <w:numPr>
          <w:ilvl w:val="0"/>
          <w:numId w:val="2"/>
        </w:numPr>
        <w:spacing w:after="55" w:line="268"/>
      </w:pPr>
      <w:r>
        <w:t xml:space="preserve">Medical-record retention law overrides erasure requests. India’s NMC regulations, the Consumer Protection Act, and (where applicable) HIPAA and GDPR all provide carve-outs for legally mandated retention. An erasure request triggers a classification pass, not an immediate deletion.</w:t>
      </w:r>
    </w:p>
    <w:p>
      <w:pPr>
        <w:pStyle w:val="ListParagraph"/>
        <w:numPr>
          <w:ilvl w:val="0"/>
          <w:numId w:val="2"/>
        </w:numPr>
        <w:spacing w:after="55" w:line="268"/>
      </w:pPr>
      <w:r>
        <w:t xml:space="preserve">Clinical contributions are permanent. A doctor’s treatment plans, session notes, EEG sign-offs, and a CA’s session logs remain attributed to the originating staff member indefinitely, regardless of their employment status.</w:t>
      </w:r>
    </w:p>
    <w:p>
      <w:pPr>
        <w:pStyle w:val="ListParagraph"/>
        <w:numPr>
          <w:ilvl w:val="0"/>
          <w:numId w:val="2"/>
        </w:numPr>
        <w:spacing w:after="55" w:line="268"/>
      </w:pPr>
      <w:r>
        <w:t xml:space="preserve">Access revocation is time-sensitive and scenario-dependent. Voluntary departure allows a notice period; for-cause termination requires same-day revocation.</w:t>
      </w:r>
    </w:p>
    <w:p>
      <w:pPr>
        <w:pStyle w:val="ListParagraph"/>
        <w:numPr>
          <w:ilvl w:val="0"/>
          <w:numId w:val="2"/>
        </w:numPr>
        <w:spacing w:after="55" w:line="268"/>
      </w:pPr>
      <w:r>
        <w:t xml:space="preserve">Data that has no retention basis must be deleted promptly once its purpose is served. “Retain everything permanently” is not a compliant default.</w:t>
      </w:r>
    </w:p>
    <w:p>
      <w:pPr>
        <w:pStyle w:val="ListParagraph"/>
        <w:numPr>
          <w:ilvl w:val="0"/>
          <w:numId w:val="2"/>
        </w:numPr>
        <w:spacing w:after="55" w:line="268"/>
      </w:pPr>
      <w:r>
        <w:t xml:space="preserve">The patient is the Data Principal. They have legally enforceable rights to access, correct, port, and (within retention constraints) erase their personal data.</w:t>
      </w:r>
    </w:p>
    <w:p>
      <w:pPr>
        <w:pStyle w:val="ListParagraph"/>
        <w:numPr>
          <w:ilvl w:val="0"/>
          <w:numId w:val="2"/>
        </w:numPr>
        <w:spacing w:after="55" w:line="268"/>
      </w:pPr>
      <w:r>
        <w:t xml:space="preserve">De-identified data may be retained for business analytics without time limit, provided the de-identification is irreversible and the original identifiable data is deleted per schedule.</w:t>
      </w:r>
    </w:p>
    <w:p>
      <w:r>
        <w:br w:type="page"/>
      </w:r>
    </w:p>
    <w:p>
      <w:pPr>
        <w:pStyle w:val="Heading1"/>
      </w:pPr>
      <w:r>
        <w:t xml:space="preserve">2. Regulatory Framework</w:t>
      </w:r>
    </w:p>
    <w:p>
      <w:pPr>
        <w:spacing w:after="130" w:line="276"/>
      </w:pPr>
      <w:r>
        <w:t xml:space="preserve">This section summarises the legal obligations that directly shape the closure, retention, and deletion rules in this policy. It is not legal advice. All retention periods and compliance interpretations must be reviewed by qualified legal counsel before this policy becomes operative.</w:t>
      </w:r>
    </w:p>
    <w:p>
      <w:pPr>
        <w:pStyle w:val="Heading2"/>
      </w:pPr>
      <w:r>
        <w:t xml:space="preserve">2.1 India — DPDP Act 2023</w:t>
      </w:r>
    </w:p>
    <w:p>
      <w:pPr>
        <w:spacing w:after="110" w:line="276"/>
      </w:pPr>
      <w:r>
        <w:rPr>
          <w:b/>
          <w:bCs/>
        </w:rPr>
        <w:t xml:space="preserve">Status: </w:t>
      </w:r>
      <w:r>
        <w:t xml:space="preserve">Rules notified 13 November 2025; substantive compliance enforceable from 13 May 2027; consent-manager framework from 13 November 2026.</w:t>
      </w:r>
    </w:p>
    <w:p>
      <w:pPr>
        <w:spacing w:after="110" w:line="276"/>
      </w:pPr>
      <w:r>
        <w:rPr>
          <w:b/>
          <w:bCs/>
        </w:rPr>
        <w:t xml:space="preserve">Anava’s classification: </w:t>
      </w:r>
      <w:r>
        <w:t xml:space="preserve">Data Fiduciary (determines the purpose and means of processing personal data of patients/staff).</w:t>
      </w:r>
    </w:p>
    <w:p>
      <w:pPr>
        <w:spacing w:after="110" w:line="276"/>
      </w:pPr>
      <w:r>
        <w:rPr>
          <w:b/>
          <w:bCs/>
        </w:rPr>
        <w:t xml:space="preserve">Key obligations for this policy:</w:t>
      </w:r>
      <w:r>
        <w:t xml:space="preserve"/>
      </w:r>
    </w:p>
    <w:p>
      <w:pPr>
        <w:pStyle w:val="ListParagraph"/>
        <w:numPr>
          <w:ilvl w:val="0"/>
          <w:numId w:val="3"/>
        </w:numPr>
        <w:spacing w:after="55" w:line="268"/>
      </w:pPr>
      <w:r>
        <w:t xml:space="preserve">Purpose limitation — personal data may only be processed for the stated purpose; once the purpose is served, data must be erased unless retention is required by law.</w:t>
      </w:r>
    </w:p>
    <w:p>
      <w:pPr>
        <w:pStyle w:val="ListParagraph"/>
        <w:numPr>
          <w:ilvl w:val="0"/>
          <w:numId w:val="3"/>
        </w:numPr>
        <w:spacing w:after="55" w:line="268"/>
      </w:pPr>
      <w:r>
        <w:t xml:space="preserve">Consent — must be free, specific, informed, unconditional, and unambiguous; consent notice must itemise what data and why; withdrawal must be as easy as giving consent.</w:t>
      </w:r>
    </w:p>
    <w:p>
      <w:pPr>
        <w:pStyle w:val="ListParagraph"/>
        <w:numPr>
          <w:ilvl w:val="0"/>
          <w:numId w:val="3"/>
        </w:numPr>
        <w:spacing w:after="55" w:line="268"/>
      </w:pPr>
      <w:r>
        <w:t xml:space="preserve">Data Principal rights — right to access, correct, erase (subject to legal-retention exceptions), nominate (for incapacity/death), and grieve.</w:t>
      </w:r>
    </w:p>
    <w:p>
      <w:pPr>
        <w:pStyle w:val="ListParagraph"/>
        <w:numPr>
          <w:ilvl w:val="0"/>
          <w:numId w:val="3"/>
        </w:numPr>
        <w:spacing w:after="55" w:line="268"/>
      </w:pPr>
      <w:r>
        <w:t xml:space="preserve">Children’s data — verifiable parental/guardian consent for anyone under 18; processing must not cause harm to the child.</w:t>
      </w:r>
    </w:p>
    <w:p>
      <w:pPr>
        <w:pStyle w:val="ListParagraph"/>
        <w:numPr>
          <w:ilvl w:val="0"/>
          <w:numId w:val="3"/>
        </w:numPr>
        <w:spacing w:after="55" w:line="268"/>
      </w:pPr>
      <w:r>
        <w:t xml:space="preserve">Breach notification — notify the Data Protection Board and affected individuals; detailed follow-up report.</w:t>
      </w:r>
    </w:p>
    <w:p>
      <w:pPr>
        <w:pStyle w:val="ListParagraph"/>
        <w:numPr>
          <w:ilvl w:val="0"/>
          <w:numId w:val="3"/>
        </w:numPr>
        <w:spacing w:after="55" w:line="268"/>
      </w:pPr>
      <w:r>
        <w:t xml:space="preserve">Penalties — up to ₹250 crore for failure to implement reasonable security safeguards.</w:t>
      </w:r>
    </w:p>
    <w:p>
      <w:pPr>
        <w:pStyle w:val="Heading2"/>
      </w:pPr>
      <w:r>
        <w:t xml:space="preserve">2.2 HIPAA Alignment (voluntary)</w:t>
      </w:r>
    </w:p>
    <w:p>
      <w:pPr>
        <w:spacing w:after="130" w:line="276"/>
      </w:pPr>
      <w:r>
        <w:t xml:space="preserve">Anava is not a US “covered entity” and is not legally subject to HIPAA unless treating US patients or contractually tied to a US covered entity. However, the platform voluntarily aligns with HIPAA’s Security Rule and Privacy Rule as a recognised quality bar for international credibility, investor due-diligence, and future US-facing expansion.</w:t>
      </w:r>
    </w:p>
    <w:p>
      <w:pPr>
        <w:spacing w:after="110" w:line="276"/>
      </w:pPr>
      <w:r>
        <w:rPr>
          <w:b/>
          <w:bCs/>
        </w:rPr>
        <w:t xml:space="preserve">Key alignment points:</w:t>
      </w:r>
      <w:r>
        <w:t xml:space="preserve"/>
      </w:r>
    </w:p>
    <w:p>
      <w:pPr>
        <w:pStyle w:val="ListParagraph"/>
        <w:numPr>
          <w:ilvl w:val="0"/>
          <w:numId w:val="3"/>
        </w:numPr>
        <w:spacing w:after="55" w:line="268"/>
      </w:pPr>
      <w:r>
        <w:t xml:space="preserve">Administrative, physical, and technical safeguards for Protected Health Information (PHI).</w:t>
      </w:r>
    </w:p>
    <w:p>
      <w:pPr>
        <w:pStyle w:val="ListParagraph"/>
        <w:numPr>
          <w:ilvl w:val="0"/>
          <w:numId w:val="3"/>
        </w:numPr>
        <w:spacing w:after="55" w:line="268"/>
      </w:pPr>
      <w:r>
        <w:t xml:space="preserve">Minimum-necessary standard — disclose only the minimum PHI needed for each purpose.</w:t>
      </w:r>
    </w:p>
    <w:p>
      <w:pPr>
        <w:pStyle w:val="ListParagraph"/>
        <w:numPr>
          <w:ilvl w:val="0"/>
          <w:numId w:val="3"/>
        </w:numPr>
        <w:spacing w:after="55" w:line="268"/>
      </w:pPr>
      <w:r>
        <w:t xml:space="preserve">Accounting of disclosures — maintain a log of who accessed what PHI and why.</w:t>
      </w:r>
    </w:p>
    <w:p>
      <w:pPr>
        <w:pStyle w:val="ListParagraph"/>
        <w:numPr>
          <w:ilvl w:val="0"/>
          <w:numId w:val="3"/>
        </w:numPr>
        <w:spacing w:after="55" w:line="268"/>
      </w:pPr>
      <w:r>
        <w:t xml:space="preserve">Patient right to access and receive a copy of their medical record (within 30 days).</w:t>
      </w:r>
    </w:p>
    <w:p>
      <w:pPr>
        <w:pStyle w:val="ListParagraph"/>
        <w:numPr>
          <w:ilvl w:val="0"/>
          <w:numId w:val="3"/>
        </w:numPr>
        <w:spacing w:after="55" w:line="268"/>
      </w:pPr>
      <w:r>
        <w:t xml:space="preserve">Retention: HIPAA itself has no single retention period, but requires records to be retained for 6 years from last effective date (for policies/procedures) and defers to state law for clinical records.</w:t>
      </w:r>
    </w:p>
    <w:p>
      <w:pPr>
        <w:pStyle w:val="ListParagraph"/>
        <w:numPr>
          <w:ilvl w:val="0"/>
          <w:numId w:val="3"/>
        </w:numPr>
        <w:spacing w:after="55" w:line="268"/>
      </w:pPr>
      <w:r>
        <w:t xml:space="preserve">AWS BAA (Business Associate Addendum) — sign for all HIPAA-eligible services (RDS, S3, ECS, Cognito, CloudWatch, SES). Free, no procurement; available in AWS Artifact.</w:t>
      </w:r>
    </w:p>
    <w:p>
      <w:pPr>
        <w:pStyle w:val="Heading2"/>
      </w:pPr>
      <w:r>
        <w:t xml:space="preserve">2.3 EU — GDPR (future markets)</w:t>
      </w:r>
    </w:p>
    <w:p>
      <w:pPr>
        <w:spacing w:after="130" w:line="276"/>
      </w:pPr>
      <w:r>
        <w:t xml:space="preserve">When Anava expands to Cyprus and other EU/EEA markets, GDPR will apply to all personal data of EU-resident patients and staff. Key differences from DPDP relevant to this policy:</w:t>
      </w:r>
    </w:p>
    <w:p>
      <w:pPr>
        <w:pStyle w:val="ListParagraph"/>
        <w:numPr>
          <w:ilvl w:val="0"/>
          <w:numId w:val="3"/>
        </w:numPr>
        <w:spacing w:after="55" w:line="268"/>
      </w:pPr>
      <w:r>
        <w:t xml:space="preserve">Right to erasure (“right to be forgotten”) — stronger than DPDP but still subject to the same medical-record retention carve-out (Article 17(3)(c): necessary for public health or medical purposes).</w:t>
      </w:r>
    </w:p>
    <w:p>
      <w:pPr>
        <w:pStyle w:val="ListParagraph"/>
        <w:numPr>
          <w:ilvl w:val="0"/>
          <w:numId w:val="3"/>
        </w:numPr>
        <w:spacing w:after="55" w:line="268"/>
      </w:pPr>
      <w:r>
        <w:t xml:space="preserve">Right to data portability — structured, commonly used, machine-readable format (GDPR Article 20); aligns with this policy’s portability provisions.</w:t>
      </w:r>
    </w:p>
    <w:p>
      <w:pPr>
        <w:pStyle w:val="ListParagraph"/>
        <w:numPr>
          <w:ilvl w:val="0"/>
          <w:numId w:val="3"/>
        </w:numPr>
        <w:spacing w:after="55" w:line="268"/>
      </w:pPr>
      <w:r>
        <w:t xml:space="preserve">Data Protection Impact Assessment (DPIA) required for large-scale health data processing.</w:t>
      </w:r>
    </w:p>
    <w:p>
      <w:pPr>
        <w:pStyle w:val="ListParagraph"/>
        <w:numPr>
          <w:ilvl w:val="0"/>
          <w:numId w:val="3"/>
        </w:numPr>
        <w:spacing w:after="55" w:line="268"/>
      </w:pPr>
      <w:r>
        <w:t xml:space="preserve">Cross-border transfer restrictions — adequacy decision, SCCs, or binding corporate rules required for EU→India data transfers (see Section 9).</w:t>
      </w:r>
    </w:p>
    <w:p>
      <w:pPr>
        <w:pStyle w:val="ListParagraph"/>
        <w:numPr>
          <w:ilvl w:val="0"/>
          <w:numId w:val="3"/>
        </w:numPr>
        <w:spacing w:after="55" w:line="268"/>
      </w:pPr>
      <w:r>
        <w:t xml:space="preserve">72-hour breach notification to supervisory authority.</w:t>
      </w:r>
    </w:p>
    <w:p>
      <w:pPr>
        <w:pStyle w:val="ListParagraph"/>
        <w:numPr>
          <w:ilvl w:val="0"/>
          <w:numId w:val="3"/>
        </w:numPr>
        <w:spacing w:after="55" w:line="268"/>
      </w:pPr>
      <w:r>
        <w:t xml:space="preserve">Data Protection Officer (DPO) appointment required for health-data controllers.</w:t>
      </w:r>
    </w:p>
    <w:p>
      <w:pPr>
        <w:pStyle w:val="Heading2"/>
      </w:pPr>
      <w:r>
        <w:t xml:space="preserve">2.4 Indian Medical-Record Retention Law</w:t>
      </w:r>
    </w:p>
    <w:p>
      <w:pPr>
        <w:spacing w:after="130" w:line="276"/>
      </w:pPr>
      <w:r>
        <w:t xml:space="preserve">Medical-record retention in India draws from multiple sources. The figures below are sourced baselines; exact durations for Anava’s specific record types must be confirmed with legal counsel.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Source</w:t>
            </w:r>
          </w:p>
        </w:tc>
        <w:tc>
          <w:tcPr>
            <w:tcW w:type="dxa" w:w="40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Requirement</w:t>
            </w:r>
          </w:p>
        </w:tc>
        <w:tc>
          <w:tcPr>
            <w:tcW w:type="dxa" w:w="2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Period</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NMC (formerly MCI) — Draft RMP Regulations</w:t>
            </w:r>
          </w:p>
        </w:tc>
        <w:tc>
          <w:tcPr>
            <w:tcW w:type="dxa" w:w="40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Maintain inpatient/treatment records from last date of treatment</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3 years (floor, not target)</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MCI Regulations 2002, §1.3.1</w:t>
            </w:r>
          </w:p>
        </w:tc>
        <w:tc>
          <w:tcPr>
            <w:tcW w:type="dxa" w:w="40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Indoor records in standard proforma from commencement of treatment</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3 years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Consumer Protection Act 2019</w:t>
            </w:r>
          </w:p>
        </w:tc>
        <w:tc>
          <w:tcPr>
            <w:tcW w:type="dxa" w:w="40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 may file complaint from date cause of action arose; courts may extend</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2 years (statutory) + discretionary extension</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Legal-advisory consensus</w:t>
            </w:r>
          </w:p>
        </w:tc>
        <w:tc>
          <w:tcPr>
            <w:tcW w:type="dxa" w:w="40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Recommended retention for litigation defensibility, especially for surgical/neuro specialties</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7–10 years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Income Tax Act / Companies Act</w:t>
            </w:r>
          </w:p>
        </w:tc>
        <w:tc>
          <w:tcPr>
            <w:tcW w:type="dxa" w:w="40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Financial and billing records</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6–8 years (confirm with CA)</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Limitation Act 1963</w:t>
            </w:r>
          </w:p>
        </w:tc>
        <w:tc>
          <w:tcPr>
            <w:tcW w:type="dxa" w:w="40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General limitation for civil suits including tort/negligence</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3 years, but courts routinely extend</w:t>
            </w:r>
          </w:p>
        </w:tc>
      </w:tr>
    </w:tbl>
    <w:p>
      <w:pPr>
        <w:pBdr>
          <w:left w:val="single" w:color="E65100" w:sz="12" w:space="8"/>
        </w:pBdr>
        <w:shd w:fill="FFF3E0" w:val="clear"/>
        <w:spacing w:after="140" w:before="100"/>
        <w:ind w:left="200"/>
      </w:pPr>
      <w:r>
        <w:rPr>
          <w:b/>
          <w:bCs/>
          <w:color w:val="E65100"/>
        </w:rPr>
        <w:t xml:space="preserve">Policy position: </w:t>
      </w:r>
      <w:r>
        <w:rPr>
          <w:color w:val="333333"/>
        </w:rPr>
        <w:t xml:space="preserve">Anava adopts a 7-year clinical-record retention period from date of last clinical contact, subject to legal review. Financial records are retained for 8 years. Audit and compliance records are retained for 10 years. These periods exceed the statutory minimums to provide litigation defensibility for a neuromodulation therapy practice.</w:t>
      </w:r>
    </w:p>
    <w:p>
      <w:r>
        <w:br w:type="page"/>
      </w:r>
    </w:p>
    <w:p>
      <w:pPr>
        <w:pStyle w:val="Heading1"/>
      </w:pPr>
      <w:r>
        <w:t xml:space="preserve">3. Patient Account Closure</w:t>
      </w:r>
    </w:p>
    <w:p>
      <w:pPr>
        <w:pStyle w:val="Heading2"/>
      </w:pPr>
      <w:r>
        <w:t xml:space="preserve">3.1 Voluntary Closure (patient-initiated)</w:t>
      </w:r>
    </w:p>
    <w:p>
      <w:pPr>
        <w:spacing w:after="130" w:line="276"/>
      </w:pPr>
      <w:r>
        <w:t xml:space="preserve">The patient requests to close their account. This is the most common closure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526"/>
        <w:gridCol w:w="1900"/>
      </w:tblGrid>
      <w:tr>
        <w:trPr>
          <w:tblHeader/>
        </w:trPr>
        <w:tc>
          <w:tcPr>
            <w:tcW w:type="dxa" w:w="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Step</w:t>
            </w:r>
          </w:p>
        </w:tc>
        <w:tc>
          <w:tcPr>
            <w:tcW w:type="dxa" w:w="65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Action</w:t>
            </w:r>
          </w:p>
        </w:tc>
        <w:tc>
          <w:tcPr>
            <w:tcW w:type="dxa" w:w="19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Responsible</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 submits closure request through the app or at the front desk.</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2</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System checks for active treatment cycles, pending appointments, unpaid balances. If any exist, patient is informed these must be resolved before closure proceeds.</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System / Receptionist</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3</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 signs a digital closure-consent form (versioned template, captured with signature, IP, timestamp, content hash).</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4</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Active treatment cycle is marked completed (voluntary-closure). Doctor-patient assignment is ended.</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System</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5</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Portal access is set to read-only for the rejoin window (9 months). Patient can view their own records but cannot book appointments or take assessments.</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System</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6</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Cognito user is disabled (AdminDisableUser) at the end of the rejoin window, or immediately if the patient requests full deactivation.</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System / Admin</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Data enters the retention schedule (Section 6). No data is deleted at closure — deletion occurs per the retention-and-erasure process (Section 7).</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System</w:t>
            </w:r>
          </w:p>
        </w:tc>
      </w:tr>
    </w:tbl>
    <w:p>
      <w:pPr>
        <w:spacing w:after="60"/>
      </w:pPr>
      <w:r>
        <w:t xml:space="preserve"/>
      </w:r>
    </w:p>
    <w:p>
      <w:pPr>
        <w:spacing w:after="110" w:line="276"/>
      </w:pPr>
      <w:r>
        <w:rPr>
          <w:b/>
          <w:bCs/>
        </w:rPr>
        <w:t xml:space="preserve">Rejoin within 9 months: </w:t>
      </w:r>
      <w:r>
        <w:t xml:space="preserve">the same patient record and history are restored. No new registration. Cognito user is re-enabled.</w:t>
      </w:r>
    </w:p>
    <w:p>
      <w:pPr>
        <w:spacing w:after="110" w:line="276"/>
      </w:pPr>
      <w:r>
        <w:rPr>
          <w:b/>
          <w:bCs/>
        </w:rPr>
        <w:t xml:space="preserve">After 9 months (or if patient explicitly declines rejoin): </w:t>
      </w:r>
      <w:r>
        <w:t xml:space="preserve">the patient must register as a new patient. The old record stays in the retention schedule, not deleted. No automatic link between old and new records unless the doctor manually notes the prior history.</w:t>
      </w:r>
    </w:p>
    <w:p>
      <w:pPr>
        <w:spacing w:after="110" w:line="276"/>
      </w:pPr>
      <w:r>
        <w:rPr>
          <w:b/>
          <w:bCs/>
        </w:rPr>
        <w:t xml:space="preserve">Dormant-closure rejoin: </w:t>
      </w:r>
      <w:r>
        <w:t xml:space="preserve">a patient auto-closed for inactivity (Flow 2 below) has no rejoin window — full re-registration required. The old record stays in retention.</w:t>
      </w:r>
    </w:p>
    <w:p>
      <w:pPr>
        <w:pStyle w:val="Heading2"/>
      </w:pPr>
      <w:r>
        <w:t xml:space="preserve">3.2 Dormant / Inactive Closure (system-initiated)</w:t>
      </w:r>
    </w:p>
    <w:p>
      <w:pPr>
        <w:spacing w:after="130" w:line="276"/>
      </w:pPr>
      <w:r>
        <w:t xml:space="preserve">A patient who stops engaging without an explicit closure request is closed automatically once the inactivity threshold is exceeded.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Patient stage</w:t>
            </w:r>
          </w:p>
        </w:tc>
        <w:tc>
          <w:tcPr>
            <w:tcW w:type="dxa" w:w="2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Inactivity period</w:t>
            </w:r>
          </w:p>
        </w:tc>
        <w:tc>
          <w:tcPr>
            <w:tcW w:type="dxa" w:w="32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Measured from</w:t>
            </w:r>
          </w:p>
        </w:tc>
      </w:tr>
      <w:tr>
        <w:tc>
          <w:tcPr>
            <w:tcW w:type="dxa" w:w="3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Never completed a treatment session (registration only, or consultation only)</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3 months</w:t>
            </w:r>
          </w:p>
        </w:tc>
        <w:tc>
          <w:tcPr>
            <w:tcW w:type="dxa" w:w="3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Last consultation, appointment, or any logged activity</w:t>
            </w:r>
          </w:p>
        </w:tc>
      </w:tr>
      <w:tr>
        <w:tc>
          <w:tcPr>
            <w:tcW w:type="dxa" w:w="3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Completed at least one treatment session</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1 year</w:t>
            </w:r>
          </w:p>
        </w:tc>
        <w:tc>
          <w:tcPr>
            <w:tcW w:type="dxa" w:w="3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Last treatment session or follow-up consultation (whichever is more recent)</w:t>
            </w:r>
          </w:p>
        </w:tc>
      </w:tr>
    </w:tbl>
    <w:p>
      <w:pPr>
        <w:spacing w:after="60"/>
      </w:pPr>
      <w:r>
        <w:t xml:space="preserve"/>
      </w:r>
    </w:p>
    <w:p>
      <w:pPr>
        <w:spacing w:after="130" w:line="276"/>
      </w:pPr>
      <w:r>
        <w:t xml:space="preserve">Before auto-closure fires, the system sends a 30-day advance notification (in-app; email/SMS when those channels are live) giving the patient the option to remain active by scheduling an appointment or contacting the clinic. If no response within 30 days, closure proceeds automatically.</w:t>
      </w:r>
    </w:p>
    <w:p>
      <w:pPr>
        <w:spacing w:after="130" w:line="276"/>
      </w:pPr>
      <w:r>
        <w:t xml:space="preserve">Data treatment is the same as voluntary closure: enters retention schedule, no immediate deletion.</w:t>
      </w:r>
    </w:p>
    <w:p>
      <w:pPr>
        <w:pStyle w:val="Heading2"/>
      </w:pPr>
      <w:r>
        <w:t xml:space="preserve">3.3 Patient Clinic Transfer</w:t>
      </w:r>
    </w:p>
    <w:p>
      <w:pPr>
        <w:spacing w:after="130" w:line="276"/>
      </w:pPr>
      <w:r>
        <w:t xml:space="preserve">A patient moving between clinics. Not a closure — no data is deleted, no account is deactivated.</w:t>
      </w:r>
    </w:p>
    <w:p>
      <w:pPr>
        <w:pStyle w:val="ListParagraph"/>
        <w:numPr>
          <w:ilvl w:val="0"/>
          <w:numId w:val="3"/>
        </w:numPr>
        <w:spacing w:after="55" w:line="268"/>
      </w:pPr>
      <w:r>
        <w:t xml:space="preserve">Active treatment cycle at the old clinic is marked completed (transfer-terminated). A new cycle opens at the destination clinic at Session 1 — treatment does not resume mid-cycle across clinics (device calibration, dosage continuity, and clinical accountability require a fresh cycle under the new treating doctor).</w:t>
      </w:r>
    </w:p>
    <w:p>
      <w:pPr>
        <w:pStyle w:val="ListParagraph"/>
        <w:numPr>
          <w:ilvl w:val="0"/>
          <w:numId w:val="3"/>
        </w:numPr>
        <w:spacing w:after="55" w:line="268"/>
      </w:pPr>
      <w:r>
        <w:t xml:space="preserve">Full clinical history (anamnesis, PRS, EEG, treatment plans, session logs, consent records) transfers and remains accessible at the new clinic. Access keys off the doctor-patient assignment, not a single static clinic_id.</w:t>
      </w:r>
    </w:p>
    <w:p>
      <w:pPr>
        <w:pStyle w:val="ListParagraph"/>
        <w:numPr>
          <w:ilvl w:val="0"/>
          <w:numId w:val="3"/>
        </w:numPr>
        <w:spacing w:after="55" w:line="268"/>
      </w:pPr>
      <w:r>
        <w:t xml:space="preserve">An explicit transfer-consent form is signed (captured per the same e-consent standard: versioned template, signature, IP, timestamp, content hash).</w:t>
      </w:r>
    </w:p>
    <w:p>
      <w:pPr>
        <w:pStyle w:val="ListParagraph"/>
        <w:numPr>
          <w:ilvl w:val="0"/>
          <w:numId w:val="3"/>
        </w:numPr>
        <w:spacing w:after="55" w:line="268"/>
      </w:pPr>
      <w:r>
        <w:t xml:space="preserve">The transfer is logged in patient_clinic_transfers with from/to clinic, from/to doctor, reason, consent reference, and initiator.</w:t>
      </w:r>
    </w:p>
    <w:p>
      <w:pPr>
        <w:pStyle w:val="ListParagraph"/>
        <w:numPr>
          <w:ilvl w:val="0"/>
          <w:numId w:val="3"/>
        </w:numPr>
        <w:spacing w:after="55" w:line="268"/>
      </w:pPr>
      <w:r>
        <w:t xml:space="preserve">Prepaid sessions or pending balances at the old clinic are reconciled before transfer completes (business rule: forfeited, credited, or honoured — to be confirmed by the founder).</w:t>
      </w:r>
    </w:p>
    <w:p>
      <w:pPr>
        <w:pStyle w:val="Heading2"/>
      </w:pPr>
      <w:r>
        <w:t xml:space="preserve">3.4 Minor / Guardian Accounts</w:t>
      </w:r>
    </w:p>
    <w:p>
      <w:pPr>
        <w:spacing w:after="130" w:line="276"/>
      </w:pPr>
      <w:r>
        <w:t xml:space="preserve">ADHD is in the Anava disease catalogue, making paediatric patients a real scenario, not an edge case.</w:t>
      </w:r>
    </w:p>
    <w:p>
      <w:pPr>
        <w:pStyle w:val="ListParagraph"/>
        <w:numPr>
          <w:ilvl w:val="0"/>
          <w:numId w:val="3"/>
        </w:numPr>
        <w:spacing w:after="55" w:line="268"/>
      </w:pPr>
      <w:r>
        <w:t xml:space="preserve">Registration of a minor (under 18) requires verifiable parental/guardian consent, as mandated by DPDP Act. The guardian’s identity is recorded against the patient record (guardian_id on consent_records).</w:t>
      </w:r>
    </w:p>
    <w:p>
      <w:pPr>
        <w:pStyle w:val="ListParagraph"/>
        <w:numPr>
          <w:ilvl w:val="0"/>
          <w:numId w:val="3"/>
        </w:numPr>
        <w:spacing w:after="55" w:line="268"/>
      </w:pPr>
      <w:r>
        <w:t xml:space="preserve">On closure: the guardian, not the minor, initiates the closure request and signs the closure-consent form.</w:t>
      </w:r>
    </w:p>
    <w:p>
      <w:pPr>
        <w:pStyle w:val="ListParagraph"/>
        <w:numPr>
          <w:ilvl w:val="0"/>
          <w:numId w:val="3"/>
        </w:numPr>
        <w:spacing w:after="55" w:line="268"/>
      </w:pPr>
      <w:r>
        <w:t xml:space="preserve">On erasure request: the guardian acts as the Data Principal’s nominee until the minor reaches 18, at which point the (now adult) patient may exercise their own rights.</w:t>
      </w:r>
    </w:p>
    <w:p>
      <w:pPr>
        <w:pStyle w:val="ListParagraph"/>
        <w:numPr>
          <w:ilvl w:val="0"/>
          <w:numId w:val="3"/>
        </w:numPr>
        <w:spacing w:after="55" w:line="268"/>
      </w:pPr>
      <w:r>
        <w:t xml:space="preserve">On the minor turning 18: the system should prompt a fresh consent capture under the patient’s own identity, replacing the guardian-issued consent for ongoing processing. (Schema addition: date-of-birth-based trigger; flag for Phase 2.)</w:t>
      </w:r>
    </w:p>
    <w:p>
      <w:pPr>
        <w:pStyle w:val="Heading2"/>
      </w:pPr>
      <w:r>
        <w:t xml:space="preserve">3.5 Patient Data Erasure Request</w:t>
      </w:r>
    </w:p>
    <w:p>
      <w:pPr>
        <w:spacing w:after="130" w:line="276"/>
      </w:pPr>
      <w:r>
        <w:t xml:space="preserve">Distinct from account closure. A patient (or their nominee) formally requests that their personal data be deleted. This is a legally enforceable right under DPDP (and GDPR, once applicable).</w:t>
      </w:r>
    </w:p>
    <w:p>
      <w:pPr>
        <w:pBdr>
          <w:left w:val="single" w:color="E65100" w:sz="12" w:space="8"/>
        </w:pBdr>
        <w:shd w:fill="FFF3E0" w:val="clear"/>
        <w:spacing w:after="140" w:before="100"/>
        <w:ind w:left="200"/>
      </w:pPr>
      <w:r>
        <w:rPr>
          <w:b/>
          <w:bCs/>
          <w:color w:val="E65100"/>
        </w:rPr>
        <w:t xml:space="preserve">Critical: </w:t>
      </w:r>
      <w:r>
        <w:rPr>
          <w:color w:val="333333"/>
        </w:rPr>
        <w:t xml:space="preserve">An erasure request does not trigger immediate bulk deletion. It triggers a classification pass against the retention schedule. Data with a live legal-retention basis stays; data without one is deleted.</w:t>
      </w:r>
    </w:p>
    <w:p>
      <w:pPr>
        <w:pStyle w:val="ListParagraph"/>
        <w:numPr>
          <w:ilvl w:val="0"/>
          <w:numId w:val="4"/>
        </w:numPr>
        <w:spacing w:after="55" w:line="268"/>
      </w:pPr>
      <w:r>
        <w:t xml:space="preserve">Request received and logged (activity_logs + a dedicated erasure-request record).</w:t>
      </w:r>
    </w:p>
    <w:p>
      <w:pPr>
        <w:pStyle w:val="ListParagraph"/>
        <w:numPr>
          <w:ilvl w:val="0"/>
          <w:numId w:val="4"/>
        </w:numPr>
        <w:spacing w:after="55" w:line="268"/>
      </w:pPr>
      <w:r>
        <w:t xml:space="preserve">Identity of the requester verified (same verification as the original registration; guardian if minor).</w:t>
      </w:r>
    </w:p>
    <w:p>
      <w:pPr>
        <w:pStyle w:val="ListParagraph"/>
        <w:numPr>
          <w:ilvl w:val="0"/>
          <w:numId w:val="4"/>
        </w:numPr>
        <w:spacing w:after="55" w:line="268"/>
      </w:pPr>
      <w:r>
        <w:t xml:space="preserve">Classification pass: every data category linked to the patient is sorted into three buckets (see Section 7.1).</w:t>
      </w:r>
    </w:p>
    <w:p>
      <w:pPr>
        <w:pStyle w:val="ListParagraph"/>
        <w:numPr>
          <w:ilvl w:val="0"/>
          <w:numId w:val="4"/>
        </w:numPr>
        <w:spacing w:after="55" w:line="268"/>
      </w:pPr>
      <w:r>
        <w:t xml:space="preserve">Bucket 1 (no retention basis) — hard-deleted within 30 days.</w:t>
      </w:r>
    </w:p>
    <w:p>
      <w:pPr>
        <w:pStyle w:val="ListParagraph"/>
        <w:numPr>
          <w:ilvl w:val="0"/>
          <w:numId w:val="4"/>
        </w:numPr>
        <w:spacing w:after="55" w:line="268"/>
      </w:pPr>
      <w:r>
        <w:t xml:space="preserve">Bucket 2 (active legal retention) — retained, access-locked, with documented legal basis. Patient is told what is retained, why, and when it will be deleted.</w:t>
      </w:r>
    </w:p>
    <w:p>
      <w:pPr>
        <w:pStyle w:val="ListParagraph"/>
        <w:numPr>
          <w:ilvl w:val="0"/>
          <w:numId w:val="4"/>
        </w:numPr>
        <w:spacing w:after="55" w:line="268"/>
      </w:pPr>
      <w:r>
        <w:t xml:space="preserve">Bucket 3 (compliance evidence) — consent records and audit logs retained independently as proof of lawful processing.</w:t>
      </w:r>
    </w:p>
    <w:p>
      <w:pPr>
        <w:pStyle w:val="ListParagraph"/>
        <w:numPr>
          <w:ilvl w:val="0"/>
          <w:numId w:val="4"/>
        </w:numPr>
        <w:spacing w:after="55" w:line="268"/>
      </w:pPr>
      <w:r>
        <w:t xml:space="preserve">Written response to the patient within 30 days (DPDP timeline) detailing: what was deleted, what is retained and the legal basis, and the projected deletion date for retained data.</w:t>
      </w:r>
    </w:p>
    <w:p>
      <w:pPr>
        <w:pStyle w:val="ListParagraph"/>
        <w:numPr>
          <w:ilvl w:val="0"/>
          <w:numId w:val="4"/>
        </w:numPr>
        <w:spacing w:after="55" w:line="268"/>
      </w:pPr>
      <w:r>
        <w:t xml:space="preserve">Scheduled purge job revisits retained data once retention windows lapse and completes deletion/anonymisation.</w:t>
      </w:r>
    </w:p>
    <w:p>
      <w:pPr>
        <w:pStyle w:val="Heading2"/>
      </w:pPr>
      <w:r>
        <w:t xml:space="preserve">3.6 Patient Data Portability</w:t>
      </w:r>
    </w:p>
    <w:p>
      <w:pPr>
        <w:spacing w:after="130" w:line="276"/>
      </w:pPr>
      <w:r>
        <w:t xml:space="preserve">Patients have a right to receive a copy of their data in a structured, commonly used, machine-readable format. This right is enforceable under DPDP and (for EU patients) GDPR Article 20.</w:t>
      </w:r>
    </w:p>
    <w:p>
      <w:pPr>
        <w:spacing w:after="110" w:line="276"/>
      </w:pPr>
      <w:r>
        <w:rPr>
          <w:b/>
          <w:bCs/>
        </w:rPr>
        <w:t xml:space="preserve">Format: </w:t>
      </w:r>
      <w:r>
        <w:t xml:space="preserve">JSON export and/or PDF summary, at the patient’s choice.</w:t>
      </w:r>
    </w:p>
    <w:p>
      <w:pPr>
        <w:spacing w:after="110" w:line="276"/>
      </w:pPr>
      <w:r>
        <w:rPr>
          <w:b/>
          <w:bCs/>
        </w:rPr>
        <w:t xml:space="preserve">Scope: </w:t>
      </w:r>
      <w:r>
        <w:t xml:space="preserve">all data the patient provided or that was generated about them: profile, anamnesis responses, PRS responses and results, EEG reports (PDF), treatment plans, session logs, consent history, appointment history.</w:t>
      </w:r>
    </w:p>
    <w:p>
      <w:pPr>
        <w:spacing w:after="110" w:line="276"/>
      </w:pPr>
      <w:r>
        <w:rPr>
          <w:b/>
          <w:bCs/>
        </w:rPr>
        <w:t xml:space="preserve">Excluded from portability: </w:t>
      </w:r>
      <w:r>
        <w:t xml:space="preserve">doctor’s private clinical notes marked is_confidential=true; internal audit/activity logs; de-identified analytics derivatives.</w:t>
      </w:r>
    </w:p>
    <w:p>
      <w:pPr>
        <w:spacing w:after="110" w:line="276"/>
      </w:pPr>
      <w:r>
        <w:rPr>
          <w:b/>
          <w:bCs/>
        </w:rPr>
        <w:t xml:space="preserve">Timeline: </w:t>
      </w:r>
      <w:r>
        <w:t xml:space="preserve">within 30 days of request (HIPAA standard; DPDP does not specify a timeline but 30 days is the accepted norm).</w:t>
      </w:r>
    </w:p>
    <w:p>
      <w:pPr>
        <w:spacing w:after="110" w:line="276"/>
      </w:pPr>
      <w:r>
        <w:rPr>
          <w:b/>
          <w:bCs/>
        </w:rPr>
        <w:t xml:space="preserve">Delivery: </w:t>
      </w:r>
      <w:r>
        <w:t xml:space="preserve">secure download link (presigned S3 URL, time-limited) or encrypted email attachment.</w:t>
      </w:r>
    </w:p>
    <w:p>
      <w:r>
        <w:br w:type="page"/>
      </w:r>
    </w:p>
    <w:p>
      <w:pPr>
        <w:pStyle w:val="Heading1"/>
      </w:pPr>
      <w:r>
        <w:t xml:space="preserve">4. Staff Account Closure</w:t>
      </w:r>
    </w:p>
    <w:p>
      <w:pPr>
        <w:spacing w:after="130" w:line="276"/>
      </w:pPr>
      <w:r>
        <w:t xml:space="preserve">Three distinct flows, with a fourth (transfer) that is a reassignment, not a closure.</w:t>
      </w:r>
    </w:p>
    <w:p>
      <w:pPr>
        <w:pStyle w:val="Heading2"/>
      </w:pPr>
      <w:r>
        <w:t xml:space="preserve">4.1 Voluntary (resignation)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526"/>
        <w:gridCol w:w="1900"/>
      </w:tblGrid>
      <w:tr>
        <w:trPr>
          <w:tblHeader/>
        </w:trPr>
        <w:tc>
          <w:tcPr>
            <w:tcW w:type="dxa" w:w="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Step</w:t>
            </w:r>
          </w:p>
        </w:tc>
        <w:tc>
          <w:tcPr>
            <w:tcW w:type="dxa" w:w="65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Action</w:t>
            </w:r>
          </w:p>
        </w:tc>
        <w:tc>
          <w:tcPr>
            <w:tcW w:type="dxa" w:w="19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Timeline</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Staff member submits resignation.</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Day 0</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2</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Reassignment planning: active patients (doctor), pending EEG reviews, upcoming appointments, in-progress sessions (CA).</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Days 1–14</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3</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Replacement hire sourced and onboarding begins.</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During notice period</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4</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All reassignments complete — hard gate: no account closes with active patients or pending clinical work attached.</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Before last day</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5</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Access remains live through notice period for documentation and handover.</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Notice period</w:t>
            </w:r>
          </w:p>
        </w:tc>
      </w:tr>
      <w:tr>
        <w:tc>
          <w:tcPr>
            <w:tcW w:type="dxa" w:w="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6</w:t>
            </w:r>
          </w:p>
        </w:tc>
        <w:tc>
          <w:tcPr>
            <w:tcW w:type="dxa" w:w="6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Last working day: Cognito user disabled (not deleted). clinic_staff_assignments.removed_at stamped. Role table (doctors/CAs/receptionists) soft-deleted.</w:t>
            </w:r>
          </w:p>
        </w:tc>
        <w:tc>
          <w:tcPr>
            <w:tcW w:type="dxa" w:w="19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Last day</w:t>
            </w:r>
          </w:p>
        </w:tc>
      </w:tr>
      <w:tr>
        <w:tc>
          <w:tcPr>
            <w:tcW w:type="dxa" w:w="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w:t>
            </w:r>
          </w:p>
        </w:tc>
        <w:tc>
          <w:tcPr>
            <w:tcW w:type="dxa" w:w="6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Clinical contributions untouched, permanently attributed to the (now inactive) identity.</w:t>
            </w:r>
          </w:p>
        </w:tc>
        <w:tc>
          <w:tcPr>
            <w:tcW w:type="dxa" w:w="19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Permanent</w:t>
            </w:r>
          </w:p>
        </w:tc>
      </w:tr>
    </w:tbl>
    <w:p>
      <w:pPr>
        <w:spacing w:after="110" w:line="276"/>
      </w:pPr>
      <w:r>
        <w:rPr>
          <w:b/>
          <w:bCs/>
        </w:rPr>
        <w:t xml:space="preserve">Notice period: </w:t>
      </w:r>
      <w:r>
        <w:t xml:space="preserve">1 month (standard). Configurable per employment contract.</w:t>
      </w:r>
    </w:p>
    <w:p>
      <w:pPr>
        <w:pStyle w:val="Heading2"/>
      </w:pPr>
      <w:r>
        <w:t xml:space="preserve">4.2 Involuntary — no-cause</w:t>
      </w:r>
    </w:p>
    <w:p>
      <w:pPr>
        <w:spacing w:after="130" w:line="276"/>
      </w:pPr>
      <w:r>
        <w:t xml:space="preserve">Redundancy, clinic downsizing, non-renewal. Same 1-month notice period and same reassignment-before-closure gate as voluntary. The only difference is who initiates (clinic admin/Anava, not the staff member).</w:t>
      </w:r>
    </w:p>
    <w:p>
      <w:pPr>
        <w:spacing w:after="110" w:line="276"/>
      </w:pPr>
      <w:r>
        <w:rPr>
          <w:b/>
          <w:bCs/>
        </w:rPr>
        <w:t xml:space="preserve">Authorization: </w:t>
      </w:r>
      <w:r>
        <w:t xml:space="preserve">requires clinic admin or regional admin; logged with reason.</w:t>
      </w:r>
    </w:p>
    <w:p>
      <w:pPr>
        <w:pStyle w:val="Heading2"/>
      </w:pPr>
      <w:r>
        <w:t xml:space="preserve">4.3 Involuntary — for-cause</w:t>
      </w:r>
    </w:p>
    <w:p>
      <w:pPr>
        <w:spacing w:after="130" w:line="276"/>
      </w:pPr>
      <w:r>
        <w:t xml:space="preserve">Misconduct, security/compliance violation, patient safety concern.</w:t>
      </w:r>
    </w:p>
    <w:p>
      <w:pPr>
        <w:pBdr>
          <w:left w:val="single" w:color="E65100" w:sz="12" w:space="8"/>
        </w:pBdr>
        <w:shd w:fill="FFF3E0" w:val="clear"/>
        <w:spacing w:after="140" w:before="100"/>
        <w:ind w:left="200"/>
      </w:pPr>
      <w:r>
        <w:rPr>
          <w:b/>
          <w:bCs/>
          <w:color w:val="E65100"/>
        </w:rPr>
        <w:t xml:space="preserve">Access revocation is same-day. </w:t>
      </w:r>
      <w:r>
        <w:rPr>
          <w:color w:val="333333"/>
        </w:rPr>
        <w:t xml:space="preserve">Cognito user disabled before or simultaneous with the termination conversation, not after. This is a security boundary, not an HR preference.</w:t>
      </w:r>
    </w:p>
    <w:p>
      <w:pPr>
        <w:pStyle w:val="ListParagraph"/>
        <w:numPr>
          <w:ilvl w:val="0"/>
          <w:numId w:val="3"/>
        </w:numPr>
        <w:spacing w:after="55" w:line="268"/>
      </w:pPr>
      <w:r>
        <w:t xml:space="preserve">Reassignment is admin-driven (not collaborative) since you cannot rely on a departing-for-cause staff member to hand off properly.</w:t>
      </w:r>
    </w:p>
    <w:p>
      <w:pPr>
        <w:pStyle w:val="ListParagraph"/>
        <w:numPr>
          <w:ilvl w:val="0"/>
          <w:numId w:val="3"/>
        </w:numPr>
        <w:spacing w:after="55" w:line="268"/>
      </w:pPr>
      <w:r>
        <w:t xml:space="preserve">If the cause involves data handling or security, this feeds into the breach-notification process (Section 10).</w:t>
      </w:r>
    </w:p>
    <w:p>
      <w:pPr>
        <w:pStyle w:val="ListParagraph"/>
        <w:numPr>
          <w:ilvl w:val="0"/>
          <w:numId w:val="3"/>
        </w:numPr>
        <w:spacing w:after="55" w:line="268"/>
      </w:pPr>
      <w:r>
        <w:t xml:space="preserve">Requires two-person authorization (two separate admin-tier users), with a mandatory logged reason. This protects against unilateral retaliation and provides defensibility.</w:t>
      </w:r>
    </w:p>
    <w:p>
      <w:pPr>
        <w:pStyle w:val="ListParagraph"/>
        <w:numPr>
          <w:ilvl w:val="0"/>
          <w:numId w:val="3"/>
        </w:numPr>
        <w:spacing w:after="55" w:line="268"/>
      </w:pPr>
      <w:r>
        <w:t xml:space="preserve">Clinical contributions remain attributed — they may become evidence; altering attribution would itself be evidence tampering.</w:t>
      </w:r>
    </w:p>
    <w:p>
      <w:pPr>
        <w:pStyle w:val="Heading2"/>
      </w:pPr>
      <w:r>
        <w:t xml:space="preserve">4.4 Staff Clinic Transfer</w:t>
      </w:r>
    </w:p>
    <w:p>
      <w:pPr>
        <w:spacing w:after="130" w:line="276"/>
      </w:pPr>
      <w:r>
        <w:t xml:space="preserve">A reassignment, not a closure. The staff member’s employment continues at a different clinic.</w:t>
      </w:r>
    </w:p>
    <w:p>
      <w:pPr>
        <w:pStyle w:val="ListParagraph"/>
        <w:numPr>
          <w:ilvl w:val="0"/>
          <w:numId w:val="3"/>
        </w:numPr>
        <w:spacing w:after="55" w:line="268"/>
      </w:pPr>
      <w:r>
        <w:t xml:space="preserve">clinic_staff_assignments: old row gets removed_at; new row created at destination clinic.</w:t>
      </w:r>
    </w:p>
    <w:p>
      <w:pPr>
        <w:pStyle w:val="ListParagraph"/>
        <w:numPr>
          <w:ilvl w:val="0"/>
          <w:numId w:val="3"/>
        </w:numPr>
        <w:spacing w:after="55" w:line="268"/>
      </w:pPr>
      <w:r>
        <w:t xml:space="preserve">ca_doctor_assignments: updated per the new clinic’s doctors.</w:t>
      </w:r>
    </w:p>
    <w:p>
      <w:pPr>
        <w:pStyle w:val="ListParagraph"/>
        <w:numPr>
          <w:ilvl w:val="0"/>
          <w:numId w:val="3"/>
        </w:numPr>
        <w:spacing w:after="55" w:line="268"/>
      </w:pPr>
      <w:r>
        <w:t xml:space="preserve">doctor_weekly_schedules: old schedule effective_until stamped; new schedule created.</w:t>
      </w:r>
    </w:p>
    <w:p>
      <w:pPr>
        <w:pStyle w:val="ListParagraph"/>
        <w:numPr>
          <w:ilvl w:val="0"/>
          <w:numId w:val="3"/>
        </w:numPr>
        <w:spacing w:after="55" w:line="268"/>
      </w:pPr>
      <w:r>
        <w:t xml:space="preserve">Existing patients at the old clinic: either follow the doctor (appointments carry their own clinic_id) or get reassigned to a clinic-resident doctor. This is a business decision, not a system constraint.</w:t>
      </w:r>
    </w:p>
    <w:p>
      <w:pPr>
        <w:pStyle w:val="ListParagraph"/>
        <w:numPr>
          <w:ilvl w:val="0"/>
          <w:numId w:val="3"/>
        </w:numPr>
        <w:spacing w:after="55" w:line="268"/>
      </w:pPr>
      <w:r>
        <w:t xml:space="preserve">Requires explicit consent from the staff member (staff_relocation_transfer consent type).</w:t>
      </w:r>
    </w:p>
    <w:p>
      <w:pPr>
        <w:pStyle w:val="ListParagraph"/>
        <w:numPr>
          <w:ilvl w:val="0"/>
          <w:numId w:val="3"/>
        </w:numPr>
        <w:spacing w:after="55" w:line="268"/>
      </w:pPr>
      <w:r>
        <w:t xml:space="preserve">Historical patients remain visible to the transferred staff member through their assignment history — access keys off assignment, not static clinic_id.</w:t>
      </w:r>
    </w:p>
    <w:p>
      <w:r>
        <w:br w:type="page"/>
      </w:r>
    </w:p>
    <w:p>
      <w:pPr>
        <w:pStyle w:val="Heading1"/>
      </w:pPr>
      <w:r>
        <w:t xml:space="preserve">5. Clinic Closure</w:t>
      </w:r>
    </w:p>
    <w:p>
      <w:pPr>
        <w:spacing w:after="130" w:line="276"/>
      </w:pPr>
      <w:r>
        <w:t xml:space="preserve">The most complex closure flow. When a clinic shuts down, it affects every patient, every staff member, and every record associated with that clinic.</w:t>
      </w:r>
    </w:p>
    <w:p>
      <w:pPr>
        <w:pStyle w:val="Heading3"/>
      </w:pPr>
      <w:r>
        <w:t xml:space="preserve">5.1 Trigger</w:t>
      </w:r>
    </w:p>
    <w:p>
      <w:pPr>
        <w:spacing w:after="130" w:line="276"/>
      </w:pPr>
      <w:r>
        <w:t xml:space="preserve">Clinic admin or Anava HQ decides to permanently close a clinic (franchise non-renewal, lease end, strategic exit). This is not a system-automated event.</w:t>
      </w:r>
    </w:p>
    <w:p>
      <w:pPr>
        <w:pStyle w:val="Heading3"/>
      </w:pPr>
      <w:r>
        <w:t xml:space="preserve">5.2 Pre-closure checklist (must complete before closure executes)</w:t>
      </w:r>
    </w:p>
    <w:p>
      <w:pPr>
        <w:pStyle w:val="ListParagraph"/>
        <w:numPr>
          <w:ilvl w:val="0"/>
          <w:numId w:val="5"/>
        </w:numPr>
        <w:spacing w:after="55" w:line="268"/>
      </w:pPr>
      <w:r>
        <w:t xml:space="preserve">All active patients either transferred to another clinic (Section 3.3) or voluntarily closed (Section 3.1). No patient may be left in an “orphaned” state.</w:t>
      </w:r>
    </w:p>
    <w:p>
      <w:pPr>
        <w:pStyle w:val="ListParagraph"/>
        <w:numPr>
          <w:ilvl w:val="0"/>
          <w:numId w:val="5"/>
        </w:numPr>
        <w:spacing w:after="55" w:line="268"/>
      </w:pPr>
      <w:r>
        <w:t xml:space="preserve">All active treatment cycles marked completed (clinic-closure).</w:t>
      </w:r>
    </w:p>
    <w:p>
      <w:pPr>
        <w:pStyle w:val="ListParagraph"/>
        <w:numPr>
          <w:ilvl w:val="0"/>
          <w:numId w:val="5"/>
        </w:numPr>
        <w:spacing w:after="55" w:line="268"/>
      </w:pPr>
      <w:r>
        <w:t xml:space="preserve">All pending appointments cancelled with patient notification and rebooking assistance at the transfer clinic.</w:t>
      </w:r>
    </w:p>
    <w:p>
      <w:pPr>
        <w:pStyle w:val="ListParagraph"/>
        <w:numPr>
          <w:ilvl w:val="0"/>
          <w:numId w:val="5"/>
        </w:numPr>
        <w:spacing w:after="55" w:line="268"/>
      </w:pPr>
      <w:r>
        <w:t xml:space="preserve">All staff either transferred (Section 4.4) or closed (Sections 4.1/4.2).</w:t>
      </w:r>
    </w:p>
    <w:p>
      <w:pPr>
        <w:pStyle w:val="ListParagraph"/>
        <w:numPr>
          <w:ilvl w:val="0"/>
          <w:numId w:val="5"/>
        </w:numPr>
        <w:spacing w:after="55" w:line="268"/>
      </w:pPr>
      <w:r>
        <w:t xml:space="preserve">All pending payments reconciled; refunds processed for prepaid sessions that cannot be honoured.</w:t>
      </w:r>
    </w:p>
    <w:p>
      <w:pPr>
        <w:pStyle w:val="ListParagraph"/>
        <w:numPr>
          <w:ilvl w:val="0"/>
          <w:numId w:val="5"/>
        </w:numPr>
        <w:spacing w:after="55" w:line="268"/>
      </w:pPr>
      <w:r>
        <w:t xml:space="preserve">All clinic-level S3 objects (EEG files, consent PDFs, session media) confirmed accessible from the retained-data store (S3 lifecycle policies do not auto-delete on clinic closure).</w:t>
      </w:r>
    </w:p>
    <w:p>
      <w:pPr>
        <w:pStyle w:val="ListParagraph"/>
        <w:numPr>
          <w:ilvl w:val="0"/>
          <w:numId w:val="5"/>
        </w:numPr>
        <w:spacing w:after="55" w:line="268"/>
      </w:pPr>
      <w:r>
        <w:t xml:space="preserve">A successor admin for the region is confirmed before the clinic admin’s own account is closed.</w:t>
      </w:r>
    </w:p>
    <w:p>
      <w:pPr>
        <w:pStyle w:val="Heading3"/>
      </w:pPr>
      <w:r>
        <w:t xml:space="preserve">5.3 Execution</w:t>
      </w:r>
    </w:p>
    <w:p>
      <w:pPr>
        <w:pStyle w:val="ListParagraph"/>
        <w:numPr>
          <w:ilvl w:val="0"/>
          <w:numId w:val="3"/>
        </w:numPr>
        <w:spacing w:after="55" w:line="268"/>
      </w:pPr>
      <w:r>
        <w:t xml:space="preserve">clinics.status set to closed. No new registrations, appointments, or sessions permitted.</w:t>
      </w:r>
    </w:p>
    <w:p>
      <w:pPr>
        <w:pStyle w:val="ListParagraph"/>
        <w:numPr>
          <w:ilvl w:val="0"/>
          <w:numId w:val="3"/>
        </w:numPr>
        <w:spacing w:after="55" w:line="268"/>
      </w:pPr>
      <w:r>
        <w:t xml:space="preserve">All clinic-scoped Cognito users disabled.</w:t>
      </w:r>
    </w:p>
    <w:p>
      <w:pPr>
        <w:pStyle w:val="ListParagraph"/>
        <w:numPr>
          <w:ilvl w:val="0"/>
          <w:numId w:val="3"/>
        </w:numPr>
        <w:spacing w:after="55" w:line="268"/>
      </w:pPr>
      <w:r>
        <w:t xml:space="preserve">Clinical and financial data enters the standard retention schedule (Section 6) — the closure of a clinic does not shorten or lengthen any retention period.</w:t>
      </w:r>
    </w:p>
    <w:p>
      <w:pPr>
        <w:pStyle w:val="ListParagraph"/>
        <w:numPr>
          <w:ilvl w:val="0"/>
          <w:numId w:val="3"/>
        </w:numPr>
        <w:spacing w:after="55" w:line="268"/>
      </w:pPr>
      <w:r>
        <w:t xml:space="preserve">The clinic’s record (clinics table row) is never deleted — it remains as an FK anchor for all historical data.</w:t>
      </w:r>
    </w:p>
    <w:p>
      <w:r>
        <w:br w:type="page"/>
      </w:r>
    </w:p>
    <w:p>
      <w:pPr>
        <w:pStyle w:val="Heading1"/>
      </w:pPr>
      <w:r>
        <w:t xml:space="preserve">6. Data Retention Schedule</w:t>
      </w:r>
    </w:p>
    <w:p>
      <w:pPr>
        <w:spacing w:after="130" w:line="276"/>
      </w:pPr>
      <w:r>
        <w:t xml:space="preserve">This section defines how long each category of data is retained after the triggering event (account closure, last clinical contact, or last financial transaction). All periods are subject to legal review.</w:t>
      </w:r>
    </w:p>
    <w:p>
      <w:pPr>
        <w:pStyle w:val="Heading2"/>
      </w:pPr>
      <w:r>
        <w:t xml:space="preserve">6.1 Clinical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00"/>
        <w:gridCol w:w="2726"/>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Data category</w:t>
            </w:r>
          </w:p>
        </w:tc>
        <w:tc>
          <w:tcPr>
            <w:tcW w:type="dxa" w:w="1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Retention period</w:t>
            </w:r>
          </w:p>
        </w:tc>
        <w:tc>
          <w:tcPr>
            <w:tcW w:type="dxa" w:w="23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Measured from</w:t>
            </w:r>
          </w:p>
        </w:tc>
        <w:tc>
          <w:tcPr>
            <w:tcW w:type="dxa" w:w="27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Legal basis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Anamnesis (medical history)</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NMC 3-year floor + litigation buffer</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PRS assessment instances, responses, scale results, final results</w:t>
            </w:r>
          </w:p>
        </w:tc>
        <w:tc>
          <w:tcPr>
            <w:tcW w:type="dxa" w:w="1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NMC + published clinical scoring standards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EEG raw files and generated reports</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NMC + neuromodulation treatment defensibility</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Treatment plans</w:t>
            </w:r>
          </w:p>
        </w:tc>
        <w:tc>
          <w:tcPr>
            <w:tcW w:type="dxa" w:w="1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NMC + device-parameter liability</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Treatment session logs (device settings, vitals, feedback, media)</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NMC + device liability + patient safety</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Doctor session notes (SOAP)</w:t>
            </w:r>
          </w:p>
        </w:tc>
        <w:tc>
          <w:tcPr>
            <w:tcW w:type="dxa" w:w="1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NMC + clinical continuity</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Appointment history and audit logs</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Clinical scheduling integrity</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Patient disease selection</w:t>
            </w:r>
          </w:p>
        </w:tc>
        <w:tc>
          <w:tcPr>
            <w:tcW w:type="dxa" w:w="1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23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last clinical contact</w:t>
            </w:r>
          </w:p>
        </w:tc>
        <w:tc>
          <w:tcPr>
            <w:tcW w:type="dxa" w:w="2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Part of the clinical record</w:t>
            </w:r>
          </w:p>
        </w:tc>
      </w:tr>
    </w:tbl>
    <w:p>
      <w:pPr>
        <w:pStyle w:val="Heading2"/>
      </w:pPr>
      <w:r>
        <w:t xml:space="preserve">6.2 Financial / Billing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00"/>
        <w:gridCol w:w="2726"/>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Data category</w:t>
            </w:r>
          </w:p>
        </w:tc>
        <w:tc>
          <w:tcPr>
            <w:tcW w:type="dxa" w:w="1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Retention period</w:t>
            </w:r>
          </w:p>
        </w:tc>
        <w:tc>
          <w:tcPr>
            <w:tcW w:type="dxa" w:w="23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Measured from</w:t>
            </w:r>
          </w:p>
        </w:tc>
        <w:tc>
          <w:tcPr>
            <w:tcW w:type="dxa" w:w="27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Legal basis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Payment records (amount, method, status)</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8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transaction</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Income Tax Act / Companies Act (confirm with CA)</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Razorpay gateway responses (Phase 2)</w:t>
            </w:r>
          </w:p>
        </w:tc>
        <w:tc>
          <w:tcPr>
            <w:tcW w:type="dxa" w:w="1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8 years</w:t>
            </w:r>
          </w:p>
        </w:tc>
        <w:tc>
          <w:tcPr>
            <w:tcW w:type="dxa" w:w="23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transaction</w:t>
            </w:r>
          </w:p>
        </w:tc>
        <w:tc>
          <w:tcPr>
            <w:tcW w:type="dxa" w:w="2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Financial audit trail</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Store orders and order items (Phase 2)</w:t>
            </w:r>
          </w:p>
        </w:tc>
        <w:tc>
          <w:tcPr>
            <w:tcW w:type="dxa" w:w="1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8 years</w:t>
            </w:r>
          </w:p>
        </w:tc>
        <w:tc>
          <w:tcPr>
            <w:tcW w:type="dxa" w:w="23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transaction</w:t>
            </w:r>
          </w:p>
        </w:tc>
        <w:tc>
          <w:tcPr>
            <w:tcW w:type="dxa" w:w="2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Financial audit trail</w:t>
            </w:r>
          </w:p>
        </w:tc>
      </w:tr>
    </w:tbl>
    <w:p>
      <w:pPr>
        <w:pStyle w:val="Heading2"/>
      </w:pPr>
      <w:r>
        <w:t xml:space="preserve">6.3 Compliance &amp; Audit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Data category</w:t>
            </w:r>
          </w:p>
        </w:tc>
        <w:tc>
          <w:tcPr>
            <w:tcW w:type="dxa" w:w="1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Retention period</w:t>
            </w:r>
          </w:p>
        </w:tc>
        <w:tc>
          <w:tcPr>
            <w:tcW w:type="dxa" w:w="1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Measured from</w:t>
            </w:r>
          </w:p>
        </w:tc>
        <w:tc>
          <w:tcPr>
            <w:tcW w:type="dxa" w:w="28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Legal basis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Consent records (templates + signed responses)</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10 years or longest linked clinical retention, whichever is longer</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consent</w:t>
            </w:r>
          </w:p>
        </w:tc>
        <w:tc>
          <w:tcPr>
            <w:tcW w:type="dxa" w:w="2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Proof of lawful processing under DPDP / GDPR</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Audit logs (immutable system-wide action trail)</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10 years</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event</w:t>
            </w:r>
          </w:p>
        </w:tc>
        <w:tc>
          <w:tcPr>
            <w:tcW w:type="dxa" w:w="2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DPDP processing-log requirement + litigation evidence</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Activity logs (user-action trail)</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10 years</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event</w:t>
            </w:r>
          </w:p>
        </w:tc>
        <w:tc>
          <w:tcPr>
            <w:tcW w:type="dxa" w:w="2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Security audit trail</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Data erasure request records and responses</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10 years</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request</w:t>
            </w:r>
          </w:p>
        </w:tc>
        <w:tc>
          <w:tcPr>
            <w:tcW w:type="dxa" w:w="2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Proof of compliance with erasure obligation</w:t>
            </w:r>
          </w:p>
        </w:tc>
      </w:tr>
    </w:tbl>
    <w:p>
      <w:pPr>
        <w:pStyle w:val="Heading2"/>
      </w:pPr>
      <w:r>
        <w:t xml:space="preserve">6.4 Platform / System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Data category</w:t>
            </w:r>
          </w:p>
        </w:tc>
        <w:tc>
          <w:tcPr>
            <w:tcW w:type="dxa" w:w="1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Retention period</w:t>
            </w:r>
          </w:p>
        </w:tc>
        <w:tc>
          <w:tcPr>
            <w:tcW w:type="dxa" w:w="1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Measured from</w:t>
            </w:r>
          </w:p>
        </w:tc>
        <w:tc>
          <w:tcPr>
            <w:tcW w:type="dxa" w:w="28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Legal basis</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Notifications (in-app)</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 year</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creation</w:t>
            </w:r>
          </w:p>
        </w:tc>
        <w:tc>
          <w:tcPr>
            <w:tcW w:type="dxa" w:w="2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Operational convenience only; no legal retention basis</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Session tokens / refresh tokens</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Duration of session only</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Token issuance</w:t>
            </w:r>
          </w:p>
        </w:tc>
        <w:tc>
          <w:tcPr>
            <w:tcW w:type="dxa" w:w="2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Security best practice</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CloudWatch application logs</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90 days (hot) + 1 year (cold/S3)</w:t>
            </w:r>
          </w:p>
        </w:tc>
        <w:tc>
          <w:tcPr>
            <w:tcW w:type="dxa" w:w="1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log entry</w:t>
            </w:r>
          </w:p>
        </w:tc>
        <w:tc>
          <w:tcPr>
            <w:tcW w:type="dxa" w:w="2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Operational debugging + incident response</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RDS automated backups</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35 days (max AWS default)</w:t>
            </w:r>
          </w:p>
        </w:tc>
        <w:tc>
          <w:tcPr>
            <w:tcW w:type="dxa" w:w="1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backup</w:t>
            </w:r>
          </w:p>
        </w:tc>
        <w:tc>
          <w:tcPr>
            <w:tcW w:type="dxa" w:w="2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Disaster recovery; determines the “true purge” lag for deleted data</w:t>
            </w:r>
          </w:p>
        </w:tc>
      </w:tr>
    </w:tbl>
    <w:p>
      <w:pPr>
        <w:pStyle w:val="Heading2"/>
      </w:pPr>
      <w:r>
        <w:t xml:space="preserve">6.5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Category</w:t>
            </w:r>
          </w:p>
        </w:tc>
        <w:tc>
          <w:tcPr>
            <w:tcW w:type="dxa" w:w="2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Period</w:t>
            </w:r>
          </w:p>
        </w:tc>
        <w:tc>
          <w:tcPr>
            <w:tcW w:type="dxa" w:w="32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Clock starts</w:t>
            </w:r>
          </w:p>
        </w:tc>
      </w:tr>
      <w:tr>
        <w:tc>
          <w:tcPr>
            <w:tcW w:type="dxa" w:w="3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Clinical records</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7 years</w:t>
            </w:r>
          </w:p>
        </w:tc>
        <w:tc>
          <w:tcPr>
            <w:tcW w:type="dxa" w:w="3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Last clinical contact</w:t>
            </w:r>
          </w:p>
        </w:tc>
      </w:tr>
      <w:tr>
        <w:tc>
          <w:tcPr>
            <w:tcW w:type="dxa" w:w="3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Financial/billing</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8 years</w:t>
            </w:r>
          </w:p>
        </w:tc>
        <w:tc>
          <w:tcPr>
            <w:tcW w:type="dxa" w:w="3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transaction</w:t>
            </w:r>
          </w:p>
        </w:tc>
      </w:tr>
      <w:tr>
        <w:tc>
          <w:tcPr>
            <w:tcW w:type="dxa" w:w="3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Consent + audit + erasure logs</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10 years</w:t>
            </w:r>
          </w:p>
        </w:tc>
        <w:tc>
          <w:tcPr>
            <w:tcW w:type="dxa" w:w="3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event</w:t>
            </w:r>
          </w:p>
        </w:tc>
      </w:tr>
      <w:tr>
        <w:tc>
          <w:tcPr>
            <w:tcW w:type="dxa" w:w="3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Notifications</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1 year</w:t>
            </w:r>
          </w:p>
        </w:tc>
        <w:tc>
          <w:tcPr>
            <w:tcW w:type="dxa" w:w="3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Date of creation</w:t>
            </w:r>
          </w:p>
        </w:tc>
      </w:tr>
      <w:tr>
        <w:tc>
          <w:tcPr>
            <w:tcW w:type="dxa" w:w="3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Backups (RDS)</w:t>
            </w:r>
          </w:p>
        </w:tc>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35 days</w:t>
            </w:r>
          </w:p>
        </w:tc>
        <w:tc>
          <w:tcPr>
            <w:tcW w:type="dxa" w:w="3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Date of backup snapshot</w:t>
            </w:r>
          </w:p>
        </w:tc>
      </w:tr>
      <w:tr>
        <w:tc>
          <w:tcPr>
            <w:tcW w:type="dxa" w:w="3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De-identified analytics data</w:t>
            </w:r>
          </w:p>
        </w:tc>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expiry</w:t>
            </w:r>
          </w:p>
        </w:tc>
        <w:tc>
          <w:tcPr>
            <w:tcW w:type="dxa" w:w="32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N/A (see Section 8)</w:t>
            </w:r>
          </w:p>
        </w:tc>
      </w:tr>
    </w:tbl>
    <w:p>
      <w:r>
        <w:br w:type="page"/>
      </w:r>
    </w:p>
    <w:p>
      <w:pPr>
        <w:pStyle w:val="Heading1"/>
      </w:pPr>
      <w:r>
        <w:t xml:space="preserve">7. Data Deletion &amp; Anonymisation Procedure</w:t>
      </w:r>
    </w:p>
    <w:p>
      <w:pPr>
        <w:pStyle w:val="Heading2"/>
      </w:pPr>
      <w:r>
        <w:t xml:space="preserve">7.1 Classification Buckets</w:t>
      </w:r>
    </w:p>
    <w:p>
      <w:pPr>
        <w:spacing w:after="130" w:line="276"/>
      </w:pPr>
      <w:r>
        <w:t xml:space="preserve">When an erasure request is received or a retention window lapses, every data element linked to the subject is sorted into one of three buckets: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tblHeader/>
        </w:trPr>
        <w:tc>
          <w:tcPr>
            <w:tcW w:type="dxa" w:w="15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Bucket</w:t>
            </w:r>
          </w:p>
        </w:tc>
        <w:tc>
          <w:tcPr>
            <w:tcW w:type="dxa" w:w="25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Definition</w:t>
            </w:r>
          </w:p>
        </w:tc>
        <w:tc>
          <w:tcPr>
            <w:tcW w:type="dxa" w:w="25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Action</w:t>
            </w:r>
          </w:p>
        </w:tc>
        <w:tc>
          <w:tcPr>
            <w:tcW w:type="dxa" w:w="25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Examples</w:t>
            </w:r>
          </w:p>
        </w:tc>
      </w:tr>
      <w:tr>
        <w:tc>
          <w:tcPr>
            <w:tcW w:type="dxa" w:w="1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Delete now</w:t>
            </w:r>
          </w:p>
        </w:tc>
        <w:tc>
          <w:tcPr>
            <w:tcW w:type="dxa" w:w="2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active legal-retention basis; purpose has been served</w:t>
            </w:r>
          </w:p>
        </w:tc>
        <w:tc>
          <w:tcPr>
            <w:tcW w:type="dxa" w:w="2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Hard-delete from RDS + S3 within 30 days of classification</w:t>
            </w:r>
          </w:p>
        </w:tc>
        <w:tc>
          <w:tcPr>
            <w:tcW w:type="dxa" w:w="2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Notifications; marketing preferences; draft/abandoned assessments older than retention period; profile photo</w:t>
            </w:r>
          </w:p>
        </w:tc>
      </w:tr>
      <w:tr>
        <w:tc>
          <w:tcPr>
            <w:tcW w:type="dxa" w:w="15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Retain (access-locked)</w:t>
            </w:r>
          </w:p>
        </w:tc>
        <w:tc>
          <w:tcPr>
            <w:tcW w:type="dxa" w:w="25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Active legal-retention basis; documented</w:t>
            </w:r>
          </w:p>
        </w:tc>
        <w:tc>
          <w:tcPr>
            <w:tcW w:type="dxa" w:w="25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Row/object stays, access removed from all roles except compliance officer; patient told what, why, and when</w:t>
            </w:r>
          </w:p>
        </w:tc>
        <w:tc>
          <w:tcPr>
            <w:tcW w:type="dxa" w:w="25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Clinical records within 7-year window; financial records within 8-year window; active medico-legal case</w:t>
            </w:r>
          </w:p>
        </w:tc>
      </w:tr>
      <w:tr>
        <w:tc>
          <w:tcPr>
            <w:tcW w:type="dxa" w:w="1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Compliance evidence</w:t>
            </w:r>
          </w:p>
        </w:tc>
        <w:tc>
          <w:tcPr>
            <w:tcW w:type="dxa" w:w="2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Required as proof of lawful processing</w:t>
            </w:r>
          </w:p>
        </w:tc>
        <w:tc>
          <w:tcPr>
            <w:tcW w:type="dxa" w:w="25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Retained independently of the underlying data; survives even after the data it evidences is deleted</w:t>
            </w:r>
          </w:p>
        </w:tc>
        <w:tc>
          <w:tcPr>
            <w:tcW w:type="dxa" w:w="25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Consent records; audit logs; activity logs; erasure-request records and responses</w:t>
            </w:r>
          </w:p>
        </w:tc>
      </w:tr>
    </w:tbl>
    <w:p>
      <w:pPr>
        <w:pStyle w:val="Heading2"/>
      </w:pPr>
      <w:r>
        <w:t xml:space="preserve">7.2 Technical Implementation</w:t>
      </w:r>
    </w:p>
    <w:p>
      <w:pPr>
        <w:pStyle w:val="Heading3"/>
      </w:pPr>
      <w:r>
        <w:t xml:space="preserve">RDS (PostgreSQL)</w:t>
      </w:r>
    </w:p>
    <w:p>
      <w:pPr>
        <w:pStyle w:val="ListParagraph"/>
        <w:numPr>
          <w:ilvl w:val="0"/>
          <w:numId w:val="3"/>
        </w:numPr>
        <w:spacing w:after="55" w:line="268"/>
      </w:pPr>
      <w:r>
        <w:t xml:space="preserve">Bucket 1 (Delete now): hard DELETE from all relevant tables. For soft-deleted rows, this means a second pass that actually removes the row, not just stamping deleted_at.</w:t>
      </w:r>
    </w:p>
    <w:p>
      <w:pPr>
        <w:pStyle w:val="ListParagraph"/>
        <w:numPr>
          <w:ilvl w:val="0"/>
          <w:numId w:val="3"/>
        </w:numPr>
        <w:spacing w:after="55" w:line="268"/>
      </w:pPr>
      <w:r>
        <w:t xml:space="preserve">Bucket 2 (Retain, access-locked): the identifying fields on profiles (first_name, last_name, email, phone, address, profile_photo_s3_key) are anonymised in place (replaced with hashed pseudonyms, e.g. “ANON-&lt;hash&gt;”). The clinical data remains intact and linked via the anonymised profile UUID. This preserves FK integrity and clinical-record utility (a treatment plan is still medically meaningful without the patient’s name) while removing personal identifiability.</w:t>
      </w:r>
    </w:p>
    <w:p>
      <w:pPr>
        <w:pStyle w:val="ListParagraph"/>
        <w:numPr>
          <w:ilvl w:val="0"/>
          <w:numId w:val="3"/>
        </w:numPr>
        <w:spacing w:after="55" w:line="268"/>
      </w:pPr>
      <w:r>
        <w:t xml:space="preserve">Bucket 2 timing: anonymisation occurs only once every linked retention window has cleared — not at the earliest window, but the latest. If clinical records need 7 years but financial records need 8 years, the identity fields stay live for 8 years.</w:t>
      </w:r>
    </w:p>
    <w:p>
      <w:pPr>
        <w:pStyle w:val="ListParagraph"/>
        <w:numPr>
          <w:ilvl w:val="0"/>
          <w:numId w:val="3"/>
        </w:numPr>
        <w:spacing w:after="55" w:line="268"/>
      </w:pPr>
      <w:r>
        <w:t xml:space="preserve">Bucket 3 (Compliance evidence): no deletion or anonymisation. These records survive the deletion of the data they evidence.</w:t>
      </w:r>
    </w:p>
    <w:p>
      <w:pPr>
        <w:pStyle w:val="Heading3"/>
      </w:pPr>
      <w:r>
        <w:t xml:space="preserve">S3 Objects</w:t>
      </w:r>
    </w:p>
    <w:p>
      <w:pPr>
        <w:pStyle w:val="ListParagraph"/>
        <w:numPr>
          <w:ilvl w:val="0"/>
          <w:numId w:val="3"/>
        </w:numPr>
        <w:spacing w:after="55" w:line="268"/>
      </w:pPr>
      <w:r>
        <w:t xml:space="preserve">EEG raw files and generated reports: retained per clinical-record schedule (7 years from last clinical contact). On expiry, hard-deleted (S3 DeleteObject). S3 versioning, if enabled, means previous versions must also be permanently deleted (DeleteObject with versionId).</w:t>
      </w:r>
    </w:p>
    <w:p>
      <w:pPr>
        <w:pStyle w:val="ListParagraph"/>
        <w:numPr>
          <w:ilvl w:val="0"/>
          <w:numId w:val="3"/>
        </w:numPr>
        <w:spacing w:after="55" w:line="268"/>
      </w:pPr>
      <w:r>
        <w:t xml:space="preserve">Consent PDFs (signed forms): retained per compliance-evidence schedule (10 years).</w:t>
      </w:r>
    </w:p>
    <w:p>
      <w:pPr>
        <w:pStyle w:val="ListParagraph"/>
        <w:numPr>
          <w:ilvl w:val="0"/>
          <w:numId w:val="3"/>
        </w:numPr>
        <w:spacing w:after="55" w:line="268"/>
      </w:pPr>
      <w:r>
        <w:t xml:space="preserve">Session media (photos/videos): retained per clinical-record schedule (7 years).</w:t>
      </w:r>
    </w:p>
    <w:p>
      <w:pPr>
        <w:pStyle w:val="ListParagraph"/>
        <w:numPr>
          <w:ilvl w:val="0"/>
          <w:numId w:val="3"/>
        </w:numPr>
        <w:spacing w:after="55" w:line="268"/>
      </w:pPr>
      <w:r>
        <w:t xml:space="preserve">Profile photos: deleted immediately on closure or erasure request (no retention basis).</w:t>
      </w:r>
    </w:p>
    <w:p>
      <w:pPr>
        <w:pStyle w:val="ListParagraph"/>
        <w:numPr>
          <w:ilvl w:val="0"/>
          <w:numId w:val="3"/>
        </w:numPr>
        <w:spacing w:after="55" w:line="268"/>
      </w:pPr>
      <w:r>
        <w:t xml:space="preserve">All S3 deletions are logged in activity_logs with object key, bucket, deletion reason, and actor.</w:t>
      </w:r>
    </w:p>
    <w:p>
      <w:pPr>
        <w:pStyle w:val="Heading3"/>
      </w:pPr>
      <w:r>
        <w:t xml:space="preserve">Cognito</w:t>
      </w:r>
    </w:p>
    <w:p>
      <w:pPr>
        <w:pStyle w:val="ListParagraph"/>
        <w:numPr>
          <w:ilvl w:val="0"/>
          <w:numId w:val="3"/>
        </w:numPr>
        <w:spacing w:after="55" w:line="268"/>
      </w:pPr>
      <w:r>
        <w:t xml:space="preserve">On closure: AdminDisableUser (prevents login; identity preserved for audit trail linkage via cognito_sub).</w:t>
      </w:r>
    </w:p>
    <w:p>
      <w:pPr>
        <w:pStyle w:val="ListParagraph"/>
        <w:numPr>
          <w:ilvl w:val="0"/>
          <w:numId w:val="3"/>
        </w:numPr>
        <w:spacing w:after="55" w:line="268"/>
      </w:pPr>
      <w:r>
        <w:t xml:space="preserve">On final anonymisation (once all retention windows clear): AdminDeleteUser. The cognito_sub on the profiles row becomes an orphaned reference — this is intentional; audit logs still reference the profile UUID, which still exists in anonymised form.</w:t>
      </w:r>
    </w:p>
    <w:p>
      <w:pPr>
        <w:pStyle w:val="Heading3"/>
      </w:pPr>
      <w:r>
        <w:t xml:space="preserve">ElastiCache (Redis)</w:t>
      </w:r>
    </w:p>
    <w:p>
      <w:pPr>
        <w:pStyle w:val="ListParagraph"/>
        <w:numPr>
          <w:ilvl w:val="0"/>
          <w:numId w:val="3"/>
        </w:numPr>
        <w:spacing w:after="55" w:line="268"/>
      </w:pPr>
      <w:r>
        <w:t xml:space="preserve">No patient data is persisted in Redis beyond cache TTLs. On closure, any cached profile data expires naturally. No explicit purge required.</w:t>
      </w:r>
    </w:p>
    <w:p>
      <w:pPr>
        <w:pStyle w:val="Heading2"/>
      </w:pPr>
      <w:r>
        <w:t xml:space="preserve">7.3 Backup Purge</w:t>
      </w:r>
    </w:p>
    <w:p>
      <w:pPr>
        <w:pBdr>
          <w:left w:val="single" w:color="E65100" w:sz="12" w:space="8"/>
        </w:pBdr>
        <w:shd w:fill="FFF3E0" w:val="clear"/>
        <w:spacing w:after="140" w:before="100"/>
        <w:ind w:left="200"/>
      </w:pPr>
      <w:r>
        <w:rPr>
          <w:b/>
          <w:bCs/>
          <w:color w:val="E65100"/>
        </w:rPr>
        <w:t xml:space="preserve">Backups are the “true purge” lag. </w:t>
      </w:r>
      <w:r>
        <w:rPr>
          <w:color w:val="333333"/>
        </w:rPr>
        <w:t xml:space="preserve">Deleting or anonymising a live row does not touch RDS automated backups or S3 replication copies. Those still hold the original data until they age out of their retention window.</w:t>
      </w:r>
    </w:p>
    <w:p>
      <w:pPr>
        <w:pStyle w:val="ListParagraph"/>
        <w:numPr>
          <w:ilvl w:val="0"/>
          <w:numId w:val="3"/>
        </w:numPr>
        <w:spacing w:after="55" w:line="268"/>
      </w:pPr>
      <w:r>
        <w:t xml:space="preserve">RDS automated backups: maximum 35-day retention (AWS default maximum). A deleted row is fully purged from all backup copies 35 days after deletion.</w:t>
      </w:r>
    </w:p>
    <w:p>
      <w:pPr>
        <w:pStyle w:val="ListParagraph"/>
        <w:numPr>
          <w:ilvl w:val="0"/>
          <w:numId w:val="3"/>
        </w:numPr>
        <w:spacing w:after="55" w:line="268"/>
      </w:pPr>
      <w:r>
        <w:t xml:space="preserve">S3 cross-region replication (if enabled): replication lag is near-real-time; deletion replicates.</w:t>
      </w:r>
    </w:p>
    <w:p>
      <w:pPr>
        <w:pStyle w:val="ListParagraph"/>
        <w:numPr>
          <w:ilvl w:val="0"/>
          <w:numId w:val="3"/>
        </w:numPr>
        <w:spacing w:after="55" w:line="268"/>
      </w:pPr>
      <w:r>
        <w:t xml:space="preserve">Manual/on-demand snapshots: must be explicitly deleted as part of the purge process. Never leave an on-demand snapshot indefinitely; tag with the intended deletion date at creation.</w:t>
      </w:r>
    </w:p>
    <w:p>
      <w:pPr>
        <w:pStyle w:val="ListParagraph"/>
        <w:numPr>
          <w:ilvl w:val="0"/>
          <w:numId w:val="3"/>
        </w:numPr>
        <w:spacing w:after="55" w:line="268"/>
      </w:pPr>
      <w:r>
        <w:t xml:space="preserve">The response to a patient’s erasure request must disclose this lag: “Removed from live systems within 30 days; fully purged from backups within [35] days thereafter.”</w:t>
      </w:r>
    </w:p>
    <w:p>
      <w:r>
        <w:br w:type="page"/>
      </w:r>
    </w:p>
    <w:p>
      <w:pPr>
        <w:pStyle w:val="Heading1"/>
      </w:pPr>
      <w:r>
        <w:t xml:space="preserve">8. Business Analytics &amp; De-identified Data</w:t>
      </w:r>
    </w:p>
    <w:p>
      <w:pPr>
        <w:spacing w:after="130" w:line="276"/>
      </w:pPr>
      <w:r>
        <w:t xml:space="preserve">Anava has a legitimate interest in using aggregated, de-identified clinical data for business analytics, outcome tracking, and product improvement. This is permitted under DPDP, HIPAA (Safe Harbor de-identification), and GDPR (Recital 26) provided the de-identification is irreversible.</w:t>
      </w:r>
    </w:p>
    <w:p>
      <w:pPr>
        <w:spacing w:after="110" w:line="276"/>
      </w:pPr>
      <w:r>
        <w:rPr>
          <w:b/>
          <w:bCs/>
        </w:rPr>
        <w:t xml:space="preserve">De-identification standard: </w:t>
      </w:r>
      <w:r>
        <w:t xml:space="preserve">HIPAA Safe Harbor method — remove all 18 identifiers (name, dates more specific than year, geographic data smaller than state, contact information, IDs, biometric identifiers, photos, and any unique identifying number). DPDP does not specify a method; HIPAA’s is the accepted international standard.</w:t>
      </w:r>
    </w:p>
    <w:p>
      <w:pPr>
        <w:spacing w:after="110" w:line="276"/>
      </w:pPr>
      <w:r>
        <w:rPr>
          <w:b/>
          <w:bCs/>
        </w:rPr>
        <w:t xml:space="preserve">What may be retained without time limit: </w:t>
      </w:r>
      <w:r>
        <w:t xml:space="preserve">aggregated, de-identified datasets (e.g., PRS score distributions by disease by year, treatment-session completion rates by device type, average cycle duration by condition). These are not personal data and are not subject to erasure requests.</w:t>
      </w:r>
    </w:p>
    <w:p>
      <w:pPr>
        <w:spacing w:after="110" w:line="276"/>
      </w:pPr>
      <w:r>
        <w:rPr>
          <w:b/>
          <w:bCs/>
        </w:rPr>
        <w:t xml:space="preserve">What may NOT be retained via this mechanism: </w:t>
      </w:r>
      <w:r>
        <w:t xml:space="preserve">any dataset from which an individual could be re-identified through combination with other available data. Small-cell suppression (suppress any group with fewer than 5 individuals) is required.</w:t>
      </w:r>
    </w:p>
    <w:p>
      <w:pPr>
        <w:spacing w:after="110" w:line="276"/>
      </w:pPr>
      <w:r>
        <w:rPr>
          <w:b/>
          <w:bCs/>
        </w:rPr>
        <w:t xml:space="preserve">Process: </w:t>
      </w:r>
      <w:r>
        <w:t xml:space="preserve">de-identification is performed as a batch ETL job (not real-time), producing a separate analytics schema/table set. The original identifiable data follows the normal retention schedule and is deleted per Section 7. The de-identified derivative survives independently.</w:t>
      </w:r>
    </w:p>
    <w:p>
      <w:r>
        <w:br w:type="page"/>
      </w:r>
    </w:p>
    <w:p>
      <w:pPr>
        <w:pStyle w:val="Heading1"/>
      </w:pPr>
      <w:r>
        <w:t xml:space="preserve">9. Cross-Border Data Transfers</w:t>
      </w:r>
    </w:p>
    <w:p>
      <w:pPr>
        <w:spacing w:after="130" w:line="276"/>
      </w:pPr>
      <w:r>
        <w:t xml:space="preserve">Phase 1 (India-only): all data resides in AWS ap-south-1 (Mumbai). No cross-border transfer.</w:t>
      </w:r>
    </w:p>
    <w:p>
      <w:pPr>
        <w:spacing w:after="130" w:line="276"/>
      </w:pPr>
      <w:r>
        <w:t xml:space="preserve">On EU expansion: GDPR restricts transfer of EU personal data to countries without an adequacy decision (India does not currently have one). Anava must implement Standard Contractual Clauses (SCCs) or equivalent safeguards before processing EU patient data in India. Options:</w:t>
      </w:r>
    </w:p>
    <w:p>
      <w:pPr>
        <w:pStyle w:val="ListParagraph"/>
        <w:numPr>
          <w:ilvl w:val="0"/>
          <w:numId w:val="3"/>
        </w:numPr>
        <w:spacing w:after="55" w:line="268"/>
      </w:pPr>
      <w:r>
        <w:t xml:space="preserve">Process EU patient data in an EU-region AWS deployment (e.g., eu-west-1). Simplest compliance path; adds infrastructure cost.</w:t>
      </w:r>
    </w:p>
    <w:p>
      <w:pPr>
        <w:pStyle w:val="ListParagraph"/>
        <w:numPr>
          <w:ilvl w:val="0"/>
          <w:numId w:val="3"/>
        </w:numPr>
        <w:spacing w:after="55" w:line="268"/>
      </w:pPr>
      <w:r>
        <w:t xml:space="preserve">Transfer to India under SCCs. Requires a Transfer Impact Assessment (TIA) and may be challenged by regulators.</w:t>
      </w:r>
    </w:p>
    <w:p>
      <w:pPr>
        <w:pStyle w:val="ListParagraph"/>
        <w:numPr>
          <w:ilvl w:val="0"/>
          <w:numId w:val="3"/>
        </w:numPr>
        <w:spacing w:after="55" w:line="268"/>
      </w:pPr>
      <w:r>
        <w:t xml:space="preserve">Binding Corporate Rules (BCRs). Expensive, slow to approve; only relevant at significant scale.</w:t>
      </w:r>
    </w:p>
    <w:p>
      <w:pPr>
        <w:spacing w:after="130" w:line="276"/>
      </w:pPr>
      <w:r>
        <w:t xml:space="preserve">Data residency decisions must be locked before EU operations begin — retrofitting is expensive. Document the decision as an Architecture Decision Record (ADR).</w:t>
      </w:r>
    </w:p>
    <w:p>
      <w:pPr>
        <w:pStyle w:val="Heading1"/>
      </w:pPr>
      <w:r>
        <w:t xml:space="preserve">10. Breach Notification</w:t>
      </w:r>
    </w:p>
    <w:p>
      <w:pPr>
        <w:spacing w:after="130" w:line="276"/>
      </w:pPr>
      <w:r>
        <w:t xml:space="preserve">If a data breach affecting personal data is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726"/>
        <w:gridCol w:w="2100"/>
      </w:tblGrid>
      <w:tr>
        <w:trPr>
          <w:tblHeader/>
        </w:trPr>
        <w:tc>
          <w:tcPr>
            <w:tcW w:type="dxa" w:w="32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Obligation</w:t>
            </w:r>
          </w:p>
        </w:tc>
        <w:tc>
          <w:tcPr>
            <w:tcW w:type="dxa" w:w="37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Timeline</w:t>
            </w:r>
          </w:p>
        </w:tc>
        <w:tc>
          <w:tcPr>
            <w:tcW w:type="dxa" w:w="21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Regulation</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Notify the Data Protection Board of India</w:t>
            </w:r>
          </w:p>
        </w:tc>
        <w:tc>
          <w:tcPr>
            <w:tcW w:type="dxa" w:w="3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As soon as practicable (DPDP does not specify an exact window; treat as “without undue delay”)</w:t>
            </w:r>
          </w:p>
        </w:tc>
        <w:tc>
          <w:tcPr>
            <w:tcW w:type="dxa" w:w="21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DPDP Act 2023</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Notify affected Data Principals (patients/staff)</w:t>
            </w:r>
          </w:p>
        </w:tc>
        <w:tc>
          <w:tcPr>
            <w:tcW w:type="dxa" w:w="3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As soon as practicable after the Board notification</w:t>
            </w:r>
          </w:p>
        </w:tc>
        <w:tc>
          <w:tcPr>
            <w:tcW w:type="dxa" w:w="21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DPDP Act 2023</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Notify EU supervisory authority (when applicable)</w:t>
            </w:r>
          </w:p>
        </w:tc>
        <w:tc>
          <w:tcPr>
            <w:tcW w:type="dxa" w:w="37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Within 72 hours of becoming aware</w:t>
            </w:r>
          </w:p>
        </w:tc>
        <w:tc>
          <w:tcPr>
            <w:tcW w:type="dxa" w:w="21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GDPR Article 33</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Notify affected EU data subjects (when applicable)</w:t>
            </w:r>
          </w:p>
        </w:tc>
        <w:tc>
          <w:tcPr>
            <w:tcW w:type="dxa" w:w="37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Without undue delay if high risk to rights</w:t>
            </w:r>
          </w:p>
        </w:tc>
        <w:tc>
          <w:tcPr>
            <w:tcW w:type="dxa" w:w="21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GDPR Article 34</w:t>
            </w:r>
          </w:p>
        </w:tc>
      </w:tr>
    </w:tbl>
    <w:p>
      <w:pPr>
        <w:spacing w:after="130" w:line="276"/>
      </w:pPr>
      <w:r>
        <w:t xml:space="preserve">A documented incident-response runbook must exist before Phase 1 goes live. It should cover: detection (CloudWatch alarms), containment, assessment, notification (who, what, when), remediation, and post-incident review. Assign ownership of this runbook now; write it before the first patient signs up.</w:t>
      </w:r>
    </w:p>
    <w:p>
      <w:pPr>
        <w:pStyle w:val="Heading1"/>
      </w:pPr>
      <w:r>
        <w:t xml:space="preserve">11. Roles &amp;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Role</w:t>
            </w:r>
          </w:p>
        </w:tc>
        <w:tc>
          <w:tcPr>
            <w:tcW w:type="dxa" w:w="64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Responsibilities under this policy</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Grievance Officer (DPDP-mandated)</w:t>
            </w:r>
          </w:p>
        </w:tc>
        <w:tc>
          <w:tcPr>
            <w:tcW w:type="dxa" w:w="64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Receives and responds to Data Principal rights requests (access, correction, erasure, portability). Named individual, contact details published. Must be appointed before launch.</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Data Protection Officer (DPO) (GDPR-mandated for EU)</w:t>
            </w:r>
          </w:p>
        </w:tc>
        <w:tc>
          <w:tcPr>
            <w:tcW w:type="dxa" w:w="64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Oversees GDPR compliance. Required only when EU operations begin.</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 Admin</w:t>
            </w:r>
          </w:p>
        </w:tc>
        <w:tc>
          <w:tcPr>
            <w:tcW w:type="dxa" w:w="64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Executes patient approvals/closures, staff closures (voluntary/involuntary no-cause), clinic-level data requests.</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Regional Admin / Super Admin</w:t>
            </w:r>
          </w:p>
        </w:tc>
        <w:tc>
          <w:tcPr>
            <w:tcW w:type="dxa" w:w="64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Executes clinic closures, for-cause staff closures (two-person auth), cross-clinic transfers, retention-schedule oversight.</w:t>
            </w:r>
          </w:p>
        </w:tc>
      </w:tr>
      <w:tr>
        <w:tc>
          <w:tcPr>
            <w:tcW w:type="dxa" w:w="2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Development Team (PCS DatAI)</w:t>
            </w:r>
          </w:p>
        </w:tc>
        <w:tc>
          <w:tcPr>
            <w:tcW w:type="dxa" w:w="64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Implements the technical controls (anonymisation jobs, purge scheduling, backup management, audit logging).</w:t>
            </w:r>
          </w:p>
        </w:tc>
      </w:tr>
      <w:tr>
        <w:tc>
          <w:tcPr>
            <w:tcW w:type="dxa" w:w="26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Legal Counsel (external)</w:t>
            </w:r>
          </w:p>
        </w:tc>
        <w:tc>
          <w:tcPr>
            <w:tcW w:type="dxa" w:w="64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Reviews and signs off on retention periods, consent templates, breach-notification procedures, cross-border transfer mechanisms.</w:t>
            </w:r>
          </w:p>
        </w:tc>
      </w:tr>
    </w:tbl>
    <w:p>
      <w:r>
        <w:br w:type="page"/>
      </w:r>
    </w:p>
    <w:p>
      <w:pPr>
        <w:pStyle w:val="Heading1"/>
      </w:pPr>
      <w:r>
        <w:t xml:space="preserve">12. Schema &amp; Architecture Mapping</w:t>
      </w:r>
    </w:p>
    <w:p>
      <w:pPr>
        <w:spacing w:after="130" w:line="276"/>
      </w:pPr>
      <w:r>
        <w:t xml:space="preserve">How each closure and retention action maps to the actual Anava ERD v2 tables and AWS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Action</w:t>
            </w:r>
          </w:p>
        </w:tc>
        <w:tc>
          <w:tcPr>
            <w:tcW w:type="dxa" w:w="38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Tables / Services affected</w:t>
            </w:r>
          </w:p>
        </w:tc>
        <w:tc>
          <w:tcPr>
            <w:tcW w:type="dxa" w:w="28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Operation</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 account deactivation</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patients.is_active, profiles.deleted_at/deleted_by</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Soft-delete (flag)</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Patient login disable</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AWS Cognito</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AdminDisableUser</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Patient data anonymisation</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profiles (first_name, last_name, email, phone, address, profile_photo_s3_key, dob, gender)</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UPDATE to pseudonymised values</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Profile photo deletion</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S3 bucket (profile photos)</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DeleteObject + DeleteObject(versionId if versioned)</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Clinical record retention</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anamnesis_*, prs_*, patient_eeg_files, treatment_plans, treatment_sessions, doctor_session_notes, appointments, appointment_audit_logs</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action during retention window; access-locked from closed patient’s perspective</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Clinical record deletion (post-retention)</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Same as above</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Hard DELETE + S3 DeleteObject for linked files</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Financial record retention</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payments, store_orders, order_items</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action during retention window</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Consent/audit retention</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consent_records, consent_templates, audit_logs, activity_logs</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action; retained 10 years minimum</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Staff account deactivation</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doctors/clinical_assistants/receptionists.deleted_at, clinic_staff_assignments.removed_at, ca_doctor_assignments.removed_at</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Soft-delete + timestamp</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Staff login disable</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AWS Cognito</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AdminDisableUser (voluntary/no-cause: last day; for-cause: same day)</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 closure</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clinics.status = closed</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Status update; no data deletion</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Notification cleanup</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notifications</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Hard DELETE after 1-year retention</w:t>
            </w:r>
          </w:p>
        </w:tc>
      </w:tr>
      <w:tr>
        <w:tc>
          <w:tcPr>
            <w:tcW w:type="dxa" w:w="24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Backup purge</w:t>
            </w:r>
          </w:p>
        </w:tc>
        <w:tc>
          <w:tcPr>
            <w:tcW w:type="dxa" w:w="38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RDS automated backups</w:t>
            </w:r>
          </w:p>
        </w:tc>
        <w:tc>
          <w:tcPr>
            <w:tcW w:type="dxa" w:w="28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Auto-expire at 35-day AWS retention; manual snapshots explicitly deleted</w:t>
            </w:r>
          </w:p>
        </w:tc>
      </w:tr>
      <w:tr>
        <w:tc>
          <w:tcPr>
            <w:tcW w:type="dxa" w:w="24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De-identified analytics</w:t>
            </w:r>
          </w:p>
        </w:tc>
        <w:tc>
          <w:tcPr>
            <w:tcW w:type="dxa" w:w="38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Separate analytics schema</w:t>
            </w:r>
          </w:p>
        </w:tc>
        <w:tc>
          <w:tcPr>
            <w:tcW w:type="dxa" w:w="28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ETL batch job; survives source deletion</w:t>
            </w:r>
          </w:p>
        </w:tc>
      </w:tr>
    </w:tbl>
    <w:p>
      <w:r>
        <w:br w:type="page"/>
      </w:r>
    </w:p>
    <w:p>
      <w:pPr>
        <w:pStyle w:val="Heading1"/>
      </w:pPr>
      <w:r>
        <w:t xml:space="preserve">13. Review Schedule &amp; Version Control</w:t>
      </w:r>
    </w:p>
    <w:p>
      <w:pPr>
        <w:pStyle w:val="ListParagraph"/>
        <w:numPr>
          <w:ilvl w:val="0"/>
          <w:numId w:val="3"/>
        </w:numPr>
        <w:spacing w:after="55" w:line="268"/>
      </w:pPr>
      <w:r>
        <w:t xml:space="preserve">This policy is reviewed annually, or immediately upon: a material change in applicable regulation (e.g., DPDP Rules amendments, GDPR adequacy decision for India), expansion to a new jurisdiction, a data breach, or a significant change in the platform’s data-processing scope.</w:t>
      </w:r>
    </w:p>
    <w:p>
      <w:pPr>
        <w:pStyle w:val="ListParagraph"/>
        <w:numPr>
          <w:ilvl w:val="0"/>
          <w:numId w:val="3"/>
        </w:numPr>
        <w:spacing w:after="55" w:line="268"/>
      </w:pPr>
      <w:r>
        <w:t xml:space="preserve">Each review produces a new version with a changelog appended to this document.</w:t>
      </w:r>
    </w:p>
    <w:p>
      <w:pPr>
        <w:pStyle w:val="ListParagraph"/>
        <w:numPr>
          <w:ilvl w:val="0"/>
          <w:numId w:val="3"/>
        </w:numPr>
        <w:spacing w:after="55" w:line="268"/>
      </w:pPr>
      <w:r>
        <w:t xml:space="preserve">The policy owner (Team Lead, PCS DatAI) is responsible for initiating the review. Legal counsel must sign off on any change to retention periods or regulatory interpretations.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5226"/>
      </w:tblGrid>
      <w:tr>
        <w:trPr>
          <w:tblHeader/>
        </w:trPr>
        <w:tc>
          <w:tcPr>
            <w:tcW w:type="dxa" w:w="10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Version</w:t>
            </w:r>
          </w:p>
        </w:tc>
        <w:tc>
          <w:tcPr>
            <w:tcW w:type="dxa" w:w="12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Date</w:t>
            </w:r>
          </w:p>
        </w:tc>
        <w:tc>
          <w:tcPr>
            <w:tcW w:type="dxa" w:w="16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Author</w:t>
            </w:r>
          </w:p>
        </w:tc>
        <w:tc>
          <w:tcPr>
            <w:tcW w:type="dxa" w:w="52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Summary</w:t>
            </w:r>
          </w:p>
        </w:tc>
      </w:tr>
      <w:tr>
        <w:tc>
          <w:tcPr>
            <w:tcW w:type="dxa" w:w="10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v1.0</w:t>
            </w:r>
          </w:p>
        </w:tc>
        <w:tc>
          <w:tcPr>
            <w:tcW w:type="dxa" w:w="1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July 2026</w:t>
            </w:r>
          </w:p>
        </w:tc>
        <w:tc>
          <w:tcPr>
            <w:tcW w:type="dxa" w:w="16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Amit Jape</w:t>
            </w:r>
          </w:p>
        </w:tc>
        <w:tc>
          <w:tcPr>
            <w:tcW w:type="dxa" w:w="52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Initial comprehensive policy, incorporating and expanding MR’s Closure Policy v1. Adds data retention, erasure, portability, DPDP/HIPAA/GDPR, technical implementation, clinic closure, minor/guardian handling, breach notification, and business analytics.</w:t>
            </w:r>
          </w:p>
        </w:tc>
      </w:tr>
    </w:tbl>
    <w:p>
      <w:r>
        <w:br w:type="page"/>
      </w:r>
    </w:p>
    <w:p>
      <w:pPr>
        <w:pStyle w:val="Heading1"/>
      </w:pPr>
      <w:r>
        <w:t xml:space="preserve">Appendix A — Review of MR’s Closure Policy v1</w:t>
      </w:r>
    </w:p>
    <w:p>
      <w:pPr>
        <w:spacing w:after="130" w:line="276"/>
      </w:pPr>
      <w:r>
        <w:t xml:space="preserve">Mohan Rao’s initial Closure Policy v1 was the starting point for this document. Below is a structured assessment of what was carried forward, what was expanded, and what was missing.</w:t>
      </w:r>
    </w:p>
    <w:p>
      <w:pPr>
        <w:pStyle w:val="Heading3"/>
      </w:pPr>
      <w:r>
        <w:t xml:space="preserve">What MR got right (carried forward)</w:t>
      </w:r>
    </w:p>
    <w:p>
      <w:pPr>
        <w:pStyle w:val="ListParagraph"/>
        <w:numPr>
          <w:ilvl w:val="0"/>
          <w:numId w:val="3"/>
        </w:numPr>
        <w:spacing w:after="55" w:line="268"/>
      </w:pPr>
      <w:r>
        <w:t xml:space="preserve">Three-flow structure (voluntary, dormant, transfer) for patients — adopted as the organising framework.</w:t>
      </w:r>
    </w:p>
    <w:p>
      <w:pPr>
        <w:pStyle w:val="ListParagraph"/>
        <w:numPr>
          <w:ilvl w:val="0"/>
          <w:numId w:val="3"/>
        </w:numPr>
        <w:spacing w:after="55" w:line="268"/>
      </w:pPr>
      <w:r>
        <w:t xml:space="preserve">Treatment-cycle rule: active cycle ends at old clinic, new cycle starts fresh at the destination — adopted unchanged.</w:t>
      </w:r>
    </w:p>
    <w:p>
      <w:pPr>
        <w:pStyle w:val="ListParagraph"/>
        <w:numPr>
          <w:ilvl w:val="0"/>
          <w:numId w:val="3"/>
        </w:numPr>
        <w:spacing w:after="55" w:line="268"/>
      </w:pPr>
      <w:r>
        <w:t xml:space="preserve">Dormant-closure thresholds (3 months pre-treatment, 1 year post-treatment) — adopted with the addition of a 30-day advance notification before auto-closure.</w:t>
      </w:r>
    </w:p>
    <w:p>
      <w:pPr>
        <w:pStyle w:val="ListParagraph"/>
        <w:numPr>
          <w:ilvl w:val="0"/>
          <w:numId w:val="3"/>
        </w:numPr>
        <w:spacing w:after="55" w:line="268"/>
      </w:pPr>
      <w:r>
        <w:t xml:space="preserve">Staff voluntary/involuntary distinction and 1-month notice period — adopted, with for-cause separated out.</w:t>
      </w:r>
    </w:p>
    <w:p>
      <w:pPr>
        <w:pStyle w:val="ListParagraph"/>
        <w:numPr>
          <w:ilvl w:val="0"/>
          <w:numId w:val="3"/>
        </w:numPr>
        <w:spacing w:after="55" w:line="268"/>
      </w:pPr>
      <w:r>
        <w:t xml:space="preserve">Staff transfer as a reassignment, not a closure — adopted.</w:t>
      </w:r>
    </w:p>
    <w:p>
      <w:pPr>
        <w:pStyle w:val="ListParagraph"/>
        <w:numPr>
          <w:ilvl w:val="0"/>
          <w:numId w:val="3"/>
        </w:numPr>
        <w:spacing w:after="55" w:line="268"/>
      </w:pPr>
      <w:r>
        <w:t xml:space="preserve">Traceability table showing what supersedes what — good practice, adopted.</w:t>
      </w:r>
    </w:p>
    <w:p>
      <w:pPr>
        <w:pStyle w:val="Heading3"/>
      </w:pPr>
      <w:r>
        <w:t xml:space="preserve">What was missing (added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Gap</w:t>
            </w:r>
          </w:p>
        </w:tc>
        <w:tc>
          <w:tcPr>
            <w:tcW w:type="dxa" w:w="3200"/>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Impact</w:t>
            </w:r>
          </w:p>
        </w:tc>
        <w:tc>
          <w:tcPr>
            <w:tcW w:type="dxa" w:w="2626"/>
            <w:tcBorders>
              <w:top w:val="single" w:color="BFCAD6" w:sz="1"/>
              <w:left w:val="single" w:color="BFCAD6" w:sz="1"/>
              <w:bottom w:val="single" w:color="BFCAD6" w:sz="1"/>
              <w:right w:val="single" w:color="BFCAD6" w:sz="1"/>
            </w:tcBorders>
            <w:shd w:fill="1F4E79" w:val="clear"/>
            <w:tcMar>
              <w:top w:type="dxa" w:w="65"/>
              <w:left w:type="dxa" w:w="110"/>
              <w:bottom w:type="dxa" w:w="65"/>
              <w:right w:type="dxa" w:w="110"/>
            </w:tcMar>
            <w:vAlign w:val="center"/>
          </w:tcPr>
          <w:p>
            <w:pPr>
              <w:spacing w:after="0" w:line="248"/>
              <w:jc w:val="left"/>
            </w:pPr>
            <w:r>
              <w:rPr>
                <w:b/>
                <w:bCs/>
                <w:color w:val="FFFFFF"/>
                <w:sz w:val="19"/>
                <w:szCs w:val="19"/>
              </w:rPr>
              <w:t xml:space="preserve">Section added</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data retention or deletion schedule</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Cannot answer “what happens to my data” — the core compliance question</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Sections 6 and 7</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DPDP Act, HIPAA, or GDPR reference</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Policy has no legal grounding for a healthcare app</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 2</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data erasure request flow</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Cannot comply with Data Principal’s right to erasure</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 3.5</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data portability provisions</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Cannot comply with right to data access/portability</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 3.6</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for-cause staff closure</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Security incidents treated the same as resignation</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 4.3</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access-revocation timing specifics</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guidance on when Cognito is disabled</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Sections 3.1, 4.1–4.3</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Clinic closure deferred entirely</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Largest and most complex closure flow left unspecified</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 5</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minor/guardian handling</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ADHD in disease catalogue = paediatric patients are real</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 3.4</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technical implementation mapping</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Policy says “records retained” but not how, where, or what happens to backups</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Sections 7.2, 7.3, 12</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breach notification procedure</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plan for the most time-sensitive compliance obligation</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 10</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“All records retained permanently” stated as default</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Not DPDP-compliant; data must be erased once purpose is served unless retention is legally required</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Principle 5, Section 6</w:t>
            </w:r>
          </w:p>
        </w:tc>
      </w:tr>
      <w:tr>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business analytics / de-identification</w:t>
            </w:r>
          </w:p>
        </w:tc>
        <w:tc>
          <w:tcPr>
            <w:tcW w:type="dxa" w:w="3200"/>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No mechanism for Anava to benefit from aggregated data post-deletion</w:t>
            </w:r>
          </w:p>
        </w:tc>
        <w:tc>
          <w:tcPr>
            <w:tcW w:type="dxa" w:w="2626"/>
            <w:tcBorders>
              <w:top w:val="single" w:color="BFCAD6" w:sz="1"/>
              <w:left w:val="single" w:color="BFCAD6" w:sz="1"/>
              <w:bottom w:val="single" w:color="BFCAD6" w:sz="1"/>
              <w:right w:val="single" w:color="BFCAD6" w:sz="1"/>
            </w:tcBorders>
            <w:shd w:fill="F2F6FA" w:val="clear"/>
            <w:tcMar>
              <w:top w:type="dxa" w:w="65"/>
              <w:left w:type="dxa" w:w="110"/>
              <w:bottom w:type="dxa" w:w="65"/>
              <w:right w:type="dxa" w:w="110"/>
            </w:tcMar>
            <w:vAlign w:val="top"/>
          </w:tcPr>
          <w:p>
            <w:pPr>
              <w:spacing w:after="0" w:line="248"/>
              <w:jc w:val="left"/>
            </w:pPr>
            <w:r>
              <w:rPr>
                <w:b w:val="false"/>
                <w:bCs w:val="false"/>
                <w:sz w:val="19"/>
                <w:szCs w:val="19"/>
              </w:rPr>
              <w:t xml:space="preserve">Section 8</w:t>
            </w:r>
          </w:p>
        </w:tc>
      </w:tr>
      <w:tr>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No cross-border data provisions</w:t>
            </w:r>
          </w:p>
        </w:tc>
        <w:tc>
          <w:tcPr>
            <w:tcW w:type="dxa" w:w="3200"/>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Blocks EU expansion without policy groundwork</w:t>
            </w:r>
          </w:p>
        </w:tc>
        <w:tc>
          <w:tcPr>
            <w:tcW w:type="dxa" w:w="2626"/>
            <w:tcBorders>
              <w:top w:val="single" w:color="BFCAD6" w:sz="1"/>
              <w:left w:val="single" w:color="BFCAD6" w:sz="1"/>
              <w:bottom w:val="single" w:color="BFCAD6" w:sz="1"/>
              <w:right w:val="single" w:color="BFCAD6" w:sz="1"/>
            </w:tcBorders>
            <w:tcMar>
              <w:top w:type="dxa" w:w="65"/>
              <w:left w:type="dxa" w:w="110"/>
              <w:bottom w:type="dxa" w:w="65"/>
              <w:right w:type="dxa" w:w="110"/>
            </w:tcMar>
            <w:vAlign w:val="top"/>
          </w:tcPr>
          <w:p>
            <w:pPr>
              <w:spacing w:after="0" w:line="248"/>
              <w:jc w:val="left"/>
            </w:pPr>
            <w:r>
              <w:rPr>
                <w:b w:val="false"/>
                <w:bCs w:val="false"/>
                <w:sz w:val="19"/>
                <w:szCs w:val="19"/>
              </w:rPr>
              <w:t xml:space="preserve">Section 9</w:t>
            </w:r>
          </w:p>
        </w:tc>
      </w:tr>
    </w:tbl>
    <w:p>
      <w:pPr>
        <w:spacing w:after="80"/>
      </w:pPr>
      <w:r>
        <w:t xml:space="preserve"/>
      </w:r>
    </w:p>
    <w:p>
      <w:pPr>
        <w:spacing w:after="130" w:line="276"/>
      </w:pPr>
      <w:r>
        <w:rPr>
          <w:b/>
          <w:bCs/>
        </w:rPr>
        <w:t xml:space="preserve">Recommendation: </w:t>
      </w:r>
      <w:r>
        <w:t xml:space="preserve">MR’s document should be archived as the historical v0 draft. This document supersedes it as the operative policy, subject to legal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AD6" w:sz="4" w:space="2"/>
      </w:pBdr>
      <w:tabs>
        <w:tab w:val="right" w:pos="9026"/>
      </w:tabs>
    </w:pPr>
    <w:r>
      <w:rPr>
        <w:color w:val="595959"/>
        <w:sz w:val="15"/>
        <w:szCs w:val="15"/>
      </w:rPr>
      <w:t xml:space="preserve">PCS DatAI — Confidential • Requires legal review</w:t>
    </w:r>
    <w:r>
      <w:rPr>
        <w:color w:val="595959"/>
        <w:sz w:val="15"/>
        <w:szCs w:val="15"/>
      </w:rPr>
      <w:t xml:space="preserve">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AD6" w:sz="4" w:space="2"/>
      </w:pBdr>
      <w:tabs>
        <w:tab w:val="right" w:pos="9026"/>
      </w:tabs>
      <w:spacing w:after="60"/>
    </w:pPr>
    <w:r>
      <w:rPr>
        <w:b/>
        <w:bCs/>
        <w:color w:val="1F4E79"/>
        <w:sz w:val="16"/>
        <w:szCs w:val="16"/>
      </w:rPr>
      <w:t xml:space="preserve">Anava — Closure, Retention &amp; Compliance Policy</w:t>
    </w:r>
    <w:r>
      <w:rPr>
        <w:color w:val="595959"/>
        <w:sz w:val="16"/>
        <w:szCs w:val="16"/>
      </w:rPr>
      <w:t xml:space="preserve">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abstractNum w:abstractNumId="9" w15:restartNumberingAfterBreak="0">
    <w:multiLevelType w:val="hybridMultilevel"/>
    <w:lvl w:ilvl="0" w15:tentative="1">
      <w:start w:val="1"/>
      <w:numFmt w:val="decimal"/>
      <w:lvlText w:val="%1."/>
      <w:lvlJc w:val="left"/>
      <w:pPr>
        <w:ind w:left="460" w:hanging="280"/>
      </w:pPr>
    </w:lvl>
  </w:abstractNum>
  <w:abstractNum w:abstractNumId="10" w15:restartNumberingAfterBreak="0">
    <w:multiLevelType w:val="hybridMultilevel"/>
    <w:lvl w:ilvl="0" w15:tentative="1">
      <w:start w:val="1"/>
      <w:numFmt w:val="decimal"/>
      <w:lvlText w:val="%1."/>
      <w:lvlJc w:val="left"/>
      <w:pPr>
        <w:ind w:left="460" w:hanging="280"/>
      </w:pPr>
    </w:lvl>
  </w:abstractNum>
  <w:abstractNum w:abstractNumId="11" w15:restartNumberingAfterBreak="0">
    <w:multiLevelType w:val="hybridMultilevel"/>
    <w:lvl w:ilvl="0" w15:tentative="1">
      <w:start w:val="1"/>
      <w:numFmt w:val="decimal"/>
      <w:lvlText w:val="%1."/>
      <w:lvlJc w:val="left"/>
      <w:pPr>
        <w:ind w:left="460" w:hanging="280"/>
      </w:pPr>
    </w:lvl>
  </w:abstractNum>
  <w:abstractNum w:abstractNumId="12" w15:restartNumberingAfterBreak="0">
    <w:multiLevelType w:val="hybridMultilevel"/>
    <w:lvl w:ilvl="0" w15:tentative="1">
      <w:start w:val="1"/>
      <w:numFmt w:val="decimal"/>
      <w:lvlText w:val="%1."/>
      <w:lvlJc w:val="left"/>
      <w:pPr>
        <w:ind w:left="460" w:hanging="280"/>
      </w:pPr>
    </w:lvl>
  </w:abstractNum>
  <w:abstractNum w:abstractNumId="13" w15:restartNumberingAfterBreak="0">
    <w:multiLevelType w:val="hybridMultilevel"/>
    <w:lvl w:ilvl="0" w15:tentative="1">
      <w:start w:val="1"/>
      <w:numFmt w:val="decimal"/>
      <w:lvlText w:val="%1."/>
      <w:lvlJc w:val="left"/>
      <w:pPr>
        <w:ind w:left="460" w:hanging="280"/>
      </w:pPr>
    </w:lvl>
  </w:abstractNum>
  <w:abstractNum w:abstractNumId="1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3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16365C"/>
      <w:sz w:val="24"/>
      <w:szCs w:val="24"/>
    </w:rPr>
  </w:style>
  <w:style w:type="paragraph" w:styleId="Heading3">
    <w:name w:val="Heading 3"/>
    <w:basedOn w:val="Normal"/>
    <w:next w:val="Normal"/>
    <w:qFormat/>
    <w:pPr>
      <w:spacing w:after="60" w:before="150"/>
      <w:outlineLvl w:val="2"/>
    </w:pPr>
    <w:rPr>
      <w:rFonts w:ascii="Calibri" w:cs="Calibri" w:eastAsia="Calibri" w:hAnsi="Calibri"/>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2026-07-16T11:33:42.995Z</dcterms:created>
  <dcterms:modified xsi:type="dcterms:W3CDTF">2026-07-16T11:33:42.995Z</dcterms:modified>
</cp:coreProperties>
</file>

<file path=docProps/custom.xml><?xml version="1.0" encoding="utf-8"?>
<Properties xmlns="http://schemas.openxmlformats.org/officeDocument/2006/custom-properties" xmlns:vt="http://schemas.openxmlformats.org/officeDocument/2006/docPropsVTypes"/>
</file>