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61D0D" w14:textId="77777777" w:rsidR="00FD1039" w:rsidRDefault="00FD1039"/>
    <w:p w14:paraId="4725236F" w14:textId="77777777" w:rsidR="00FD1039" w:rsidRDefault="00000000">
      <w:pPr>
        <w:jc w:val="center"/>
      </w:pPr>
      <w:r>
        <w:rPr>
          <w:b/>
          <w:sz w:val="32"/>
        </w:rPr>
        <w:t>Anava — NeuroWellness</w:t>
      </w:r>
    </w:p>
    <w:p w14:paraId="76CD3D80" w14:textId="77777777" w:rsidR="00FD1039" w:rsidRDefault="00000000">
      <w:pPr>
        <w:jc w:val="center"/>
      </w:pPr>
      <w:r>
        <w:rPr>
          <w:b/>
          <w:sz w:val="44"/>
        </w:rPr>
        <w:t>Account Closure &amp; Data Retention Compliance</w:t>
      </w:r>
    </w:p>
    <w:p w14:paraId="3ABD5215" w14:textId="77777777" w:rsidR="00FD1039" w:rsidRDefault="00000000">
      <w:pPr>
        <w:jc w:val="center"/>
      </w:pPr>
      <w:r>
        <w:rPr>
          <w:sz w:val="32"/>
        </w:rPr>
        <w:t>Database Schema Change Requirements</w:t>
      </w:r>
    </w:p>
    <w:p w14:paraId="0C02CFC4" w14:textId="77777777" w:rsidR="00FD1039" w:rsidRDefault="00000000">
      <w:pPr>
        <w:jc w:val="center"/>
      </w:pPr>
      <w:r>
        <w:rPr>
          <w:i/>
        </w:rPr>
        <w:t>Gap Analysis vs. Anava Account Closure, Data Retention &amp; Regulatory Compliance Policy v1.0</w:t>
      </w:r>
    </w:p>
    <w:p w14:paraId="62E94767" w14:textId="77777777" w:rsidR="00FD1039" w:rsidRDefault="00FD1039"/>
    <w:p w14:paraId="2A6512E9" w14:textId="77777777" w:rsidR="00FD1039" w:rsidRDefault="00000000">
      <w:pPr>
        <w:jc w:val="center"/>
      </w:pPr>
      <w:r>
        <w:t>Version 1.0  •  Draft  •  July 2026</w:t>
      </w:r>
    </w:p>
    <w:p w14:paraId="02933BFB" w14:textId="7A065454" w:rsidR="00FD1039" w:rsidRDefault="00000000">
      <w:pPr>
        <w:jc w:val="center"/>
      </w:pPr>
      <w:r>
        <w:t xml:space="preserve">Prepared by: </w:t>
      </w:r>
      <w:r w:rsidR="00456142">
        <w:t>Mohan Rao</w:t>
      </w:r>
      <w:r>
        <w:t xml:space="preserve"> (PCS DatAI)</w:t>
      </w:r>
    </w:p>
    <w:p w14:paraId="6570BCA9" w14:textId="77777777" w:rsidR="00FD1039" w:rsidRDefault="00FD1039"/>
    <w:p w14:paraId="31028D3E" w14:textId="77777777" w:rsidR="00FD1039" w:rsidRDefault="00000000">
      <w:pPr>
        <w:jc w:val="center"/>
      </w:pPr>
      <w:r>
        <w:rPr>
          <w:i/>
          <w:color w:val="600000"/>
          <w:sz w:val="20"/>
        </w:rPr>
        <w:t>SCOPE: This document lists every database and system change required for the backend to comply with the source policy document, listed above. No requirement in the source policy has been relaxed, deferred without a stated reason, or substituted with a partial solution. Where the source policy itself defers a decision to legal counsel or Phase 2, that is stated explicitly rather than silently dropped.</w:t>
      </w:r>
    </w:p>
    <w:p w14:paraId="49F158F1" w14:textId="77777777" w:rsidR="00FD1039" w:rsidRDefault="00000000">
      <w:r>
        <w:br w:type="page"/>
      </w:r>
    </w:p>
    <w:p w14:paraId="4AEDF216" w14:textId="77777777" w:rsidR="00FD1039" w:rsidRDefault="00000000">
      <w:pPr>
        <w:pStyle w:val="Heading1"/>
      </w:pPr>
      <w:r>
        <w:lastRenderedPageBreak/>
        <w:t>1. Why This Document Exists</w:t>
      </w:r>
    </w:p>
    <w:p w14:paraId="256D1C59" w14:textId="77777777" w:rsidR="00FD1039" w:rsidRDefault="00000000">
      <w:r>
        <w:t>The compliance policy (v1.0, Draft, pending legal review) sets rules for account closure, data retention, erasure, portability, and breach handling under DPDP Act 2023, HIPAA alignment, and GDPR readiness. The current backend schema (61 live tables, introspected directly from the production RDS instance on 2026-07-20) implements the clinical/operational data model correctly, but has no schema support for the retention, erasure, anonymisation, or closure-state rules the policy defines. This document lists every change required to close that gap.</w:t>
      </w:r>
    </w:p>
    <w:p w14:paraId="65E53A74" w14:textId="77777777" w:rsidR="00FD1039" w:rsidRDefault="00000000">
      <w:r>
        <w:rPr>
          <w:b/>
        </w:rPr>
        <w:t>No item below is optional or a nice-to-have. Every item maps to a specific clause in the policy document. Where an item is explicitly marked Phase 2 or deferred-to-legal-review in the policy itself, that is called out — everything else here is a hard requirement, not a suggestion.</w:t>
      </w:r>
    </w:p>
    <w:p w14:paraId="26004FDB" w14:textId="77777777" w:rsidR="00FD1039" w:rsidRDefault="00000000">
      <w:pPr>
        <w:pStyle w:val="Heading1"/>
      </w:pPr>
      <w:r>
        <w:t>2. Priority Legend</w:t>
      </w:r>
    </w:p>
    <w:tbl>
      <w:tblPr>
        <w:tblStyle w:val="LightGrid-Accent1"/>
        <w:tblW w:w="0" w:type="auto"/>
        <w:tblLook w:val="04A0" w:firstRow="1" w:lastRow="0" w:firstColumn="1" w:lastColumn="0" w:noHBand="0" w:noVBand="1"/>
      </w:tblPr>
      <w:tblGrid>
        <w:gridCol w:w="4320"/>
        <w:gridCol w:w="4320"/>
      </w:tblGrid>
      <w:tr w:rsidR="00FD1039" w14:paraId="2D6FAEB9" w14:textId="77777777" w:rsidTr="00FD10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04449F" w14:textId="77777777" w:rsidR="00FD1039" w:rsidRDefault="00000000">
            <w:r>
              <w:t>Priority</w:t>
            </w:r>
          </w:p>
        </w:tc>
        <w:tc>
          <w:tcPr>
            <w:tcW w:w="4320" w:type="dxa"/>
          </w:tcPr>
          <w:p w14:paraId="3FC96D37" w14:textId="77777777" w:rsidR="00FD1039" w:rsidRDefault="00000000">
            <w:pPr>
              <w:cnfStyle w:val="100000000000" w:firstRow="1" w:lastRow="0" w:firstColumn="0" w:lastColumn="0" w:oddVBand="0" w:evenVBand="0" w:oddHBand="0" w:evenHBand="0" w:firstRowFirstColumn="0" w:firstRowLastColumn="0" w:lastRowFirstColumn="0" w:lastRowLastColumn="0"/>
            </w:pPr>
            <w:r>
              <w:t>Meaning</w:t>
            </w:r>
          </w:p>
        </w:tc>
      </w:tr>
      <w:tr w:rsidR="00FD1039" w14:paraId="343CFA06" w14:textId="77777777" w:rsidTr="00FD10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8EBD95" w14:textId="77777777" w:rsidR="00FD1039" w:rsidRDefault="00000000">
            <w:r>
              <w:rPr>
                <w:color w:val="C00000"/>
              </w:rPr>
              <w:t>P0</w:t>
            </w:r>
          </w:p>
        </w:tc>
        <w:tc>
          <w:tcPr>
            <w:tcW w:w="4320" w:type="dxa"/>
          </w:tcPr>
          <w:p w14:paraId="6F0BD6D1" w14:textId="77777777" w:rsidR="00FD1039" w:rsidRDefault="00000000">
            <w:pPr>
              <w:cnfStyle w:val="000000100000" w:firstRow="0" w:lastRow="0" w:firstColumn="0" w:lastColumn="0" w:oddVBand="0" w:evenVBand="0" w:oddHBand="1" w:evenHBand="0" w:firstRowFirstColumn="0" w:firstRowLastColumn="0" w:lastRowFirstColumn="0" w:lastRowLastColumn="0"/>
            </w:pPr>
            <w:r>
              <w:t>Core compliance blocker. Without this, the platform cannot answer "what happens to my data" — the policy's own definition of the minimum compliance bar (Guiding Principle 5). Must be built before any real patient/staff closure or erasure request can be handled lawfully.</w:t>
            </w:r>
          </w:p>
        </w:tc>
      </w:tr>
      <w:tr w:rsidR="00FD1039" w14:paraId="1A3AE86E" w14:textId="77777777" w:rsidTr="00FD10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5099D0" w14:textId="77777777" w:rsidR="00FD1039" w:rsidRDefault="00000000">
            <w:r>
              <w:rPr>
                <w:color w:val="C55A00"/>
              </w:rPr>
              <w:t>P1</w:t>
            </w:r>
          </w:p>
        </w:tc>
        <w:tc>
          <w:tcPr>
            <w:tcW w:w="4320" w:type="dxa"/>
          </w:tcPr>
          <w:p w14:paraId="09298E0B" w14:textId="77777777" w:rsidR="00FD1039" w:rsidRDefault="00000000">
            <w:pPr>
              <w:cnfStyle w:val="000000010000" w:firstRow="0" w:lastRow="0" w:firstColumn="0" w:lastColumn="0" w:oddVBand="0" w:evenVBand="0" w:oddHBand="0" w:evenHBand="1" w:firstRowFirstColumn="0" w:firstRowLastColumn="0" w:lastRowFirstColumn="0" w:lastRowLastColumn="0"/>
            </w:pPr>
            <w:r>
              <w:t>Required by a named policy clause with a hard trigger (minor registration, for-cause termination, officer appointment "before launch"). Not urgent on day one only if that trigger hasn't fired yet — but ADHD is already in the disease catalogue and for-cause terminations are not hypothetical.</w:t>
            </w:r>
          </w:p>
        </w:tc>
      </w:tr>
      <w:tr w:rsidR="00FD1039" w14:paraId="3B1FFDE7" w14:textId="77777777" w:rsidTr="00FD10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F392C9" w14:textId="77777777" w:rsidR="00FD1039" w:rsidRDefault="00000000">
            <w:r>
              <w:rPr>
                <w:color w:val="1F5C99"/>
              </w:rPr>
              <w:t>P2</w:t>
            </w:r>
          </w:p>
        </w:tc>
        <w:tc>
          <w:tcPr>
            <w:tcW w:w="4320" w:type="dxa"/>
          </w:tcPr>
          <w:p w14:paraId="7B530627" w14:textId="77777777" w:rsidR="00FD1039" w:rsidRDefault="00000000">
            <w:pPr>
              <w:cnfStyle w:val="000000100000" w:firstRow="0" w:lastRow="0" w:firstColumn="0" w:lastColumn="0" w:oddVBand="0" w:evenVBand="0" w:oddHBand="1" w:evenHBand="0" w:firstRowFirstColumn="0" w:firstRowLastColumn="0" w:lastRowFirstColumn="0" w:lastRowLastColumn="0"/>
            </w:pPr>
            <w:r>
              <w:t>Required by the policy, but the underlying event (EU expansion, large-scale analytics, manual snapshot usage) hasn't happened yet. Build ahead of the trigger, not after.</w:t>
            </w:r>
          </w:p>
        </w:tc>
      </w:tr>
      <w:tr w:rsidR="00FD1039" w14:paraId="1EF20054" w14:textId="77777777" w:rsidTr="00FD10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5C6AF2" w14:textId="77777777" w:rsidR="00FD1039" w:rsidRDefault="00000000">
            <w:r>
              <w:rPr>
                <w:color w:val="555555"/>
              </w:rPr>
              <w:t>P3</w:t>
            </w:r>
          </w:p>
        </w:tc>
        <w:tc>
          <w:tcPr>
            <w:tcW w:w="4320" w:type="dxa"/>
          </w:tcPr>
          <w:p w14:paraId="557FB28F" w14:textId="77777777" w:rsidR="00FD1039" w:rsidRDefault="00000000">
            <w:pPr>
              <w:cnfStyle w:val="000000010000" w:firstRow="0" w:lastRow="0" w:firstColumn="0" w:lastColumn="0" w:oddVBand="0" w:evenVBand="0" w:oddHBand="0" w:evenHBand="1" w:firstRowFirstColumn="0" w:firstRowLastColumn="0" w:lastRowFirstColumn="0" w:lastRowLastColumn="0"/>
            </w:pPr>
            <w:r>
              <w:t>Documentation/schema naming reconciliation. No functional gap, but the policy's own Section 12 mapping table references a column that doesn't exist under that name.</w:t>
            </w:r>
          </w:p>
        </w:tc>
      </w:tr>
    </w:tbl>
    <w:p w14:paraId="45034AF7" w14:textId="77777777" w:rsidR="00FD1039" w:rsidRDefault="00FD1039"/>
    <w:p w14:paraId="2A5FC544" w14:textId="77777777" w:rsidR="00FD1039" w:rsidRDefault="00000000">
      <w:pPr>
        <w:pStyle w:val="Heading1"/>
      </w:pPr>
      <w:r>
        <w:t>3. What's Already Compliant (no change needed)</w:t>
      </w:r>
    </w:p>
    <w:p w14:paraId="371F8BE2" w14:textId="77777777" w:rsidR="00FD1039" w:rsidRDefault="00000000">
      <w:r>
        <w:t>Verified directly against the live schema before listing gaps, so this list isn't assumed:</w:t>
      </w:r>
    </w:p>
    <w:p w14:paraId="50463032" w14:textId="77777777" w:rsidR="00FD1039" w:rsidRDefault="00000000">
      <w:pPr>
        <w:pStyle w:val="ListBullet"/>
      </w:pPr>
      <w:r>
        <w:rPr>
          <w:b/>
        </w:rPr>
        <w:lastRenderedPageBreak/>
        <w:t xml:space="preserve">patient_clinic_transfers — </w:t>
      </w:r>
      <w:r>
        <w:t>Matches Section 3.3 exactly: from/to clinic, from/to doctor, reason, consent reference, initiator.</w:t>
      </w:r>
    </w:p>
    <w:p w14:paraId="2FB3D8DD" w14:textId="77777777" w:rsidR="00FD1039" w:rsidRDefault="00000000">
      <w:pPr>
        <w:pStyle w:val="ListBullet"/>
      </w:pPr>
      <w:r>
        <w:rPr>
          <w:b/>
        </w:rPr>
        <w:t xml:space="preserve">clinic_staff_assignments.removed_at + new row on transfer — </w:t>
      </w:r>
      <w:r>
        <w:t>Matches Section 4.4 staff transfer flow.</w:t>
      </w:r>
    </w:p>
    <w:p w14:paraId="219362F0" w14:textId="77777777" w:rsidR="00FD1039" w:rsidRDefault="00000000">
      <w:pPr>
        <w:pStyle w:val="ListBullet"/>
      </w:pPr>
      <w:r>
        <w:rPr>
          <w:b/>
        </w:rPr>
        <w:t xml:space="preserve">clinics.status = 'closed', row never deleted — </w:t>
      </w:r>
      <w:r>
        <w:t>Matches Section 5.3 — clinic remains as FK anchor for historical data.</w:t>
      </w:r>
    </w:p>
    <w:p w14:paraId="2E47640F" w14:textId="77777777" w:rsidR="00FD1039" w:rsidRDefault="00000000">
      <w:pPr>
        <w:pStyle w:val="ListBullet"/>
      </w:pPr>
      <w:r>
        <w:rPr>
          <w:b/>
        </w:rPr>
        <w:t xml:space="preserve">consent_records / consent_templates — </w:t>
      </w:r>
      <w:r>
        <w:t>Versioned template, signature, IP, timestamp, content_hash, revoked_at/by — matches the e-consent standard used across every consent-requiring flow in the policy.</w:t>
      </w:r>
    </w:p>
    <w:p w14:paraId="03D6693F" w14:textId="77777777" w:rsidR="00FD1039" w:rsidRDefault="00000000">
      <w:pPr>
        <w:pStyle w:val="ListBullet"/>
      </w:pPr>
      <w:r>
        <w:rPr>
          <w:b/>
        </w:rPr>
        <w:t xml:space="preserve">doctor_session_notes.is_confidential — </w:t>
      </w:r>
      <w:r>
        <w:t>Matches Section 3.6 — confidential clinical notes are already excluded from the portability export at the schema level.</w:t>
      </w:r>
    </w:p>
    <w:p w14:paraId="5390488A" w14:textId="77777777" w:rsidR="00FD1039" w:rsidRDefault="00000000">
      <w:pPr>
        <w:pStyle w:val="ListBullet"/>
      </w:pPr>
      <w:r>
        <w:rPr>
          <w:b/>
        </w:rPr>
        <w:t xml:space="preserve">patient_eeg_files checksum + algorithm columns — </w:t>
      </w:r>
      <w:r>
        <w:t>Exceeds what the policy asks for; already supports integrity verification on retained EEG files.</w:t>
      </w:r>
    </w:p>
    <w:p w14:paraId="613BA7E1" w14:textId="77777777" w:rsidR="00FD1039" w:rsidRDefault="00000000">
      <w:pPr>
        <w:pStyle w:val="ListBullet"/>
      </w:pPr>
      <w:r>
        <w:rPr>
          <w:b/>
        </w:rPr>
        <w:t xml:space="preserve">profiles.deleted_at / deleted_by, patients.deleted_at / deleted_by, etc. — </w:t>
      </w:r>
      <w:r>
        <w:t>Generic soft-delete already in place as the deactivation mechanism referenced throughout Section 3-5.</w:t>
      </w:r>
    </w:p>
    <w:p w14:paraId="48A44319" w14:textId="77777777" w:rsidR="00FD1039" w:rsidRDefault="00000000">
      <w:pPr>
        <w:pStyle w:val="ListBullet"/>
      </w:pPr>
      <w:r>
        <w:rPr>
          <w:b/>
        </w:rPr>
        <w:t xml:space="preserve">activity_logs, audit_logs — </w:t>
      </w:r>
      <w:r>
        <w:t>Bucket 3 (compliance evidence) tables already exist and are structurally sound.</w:t>
      </w:r>
    </w:p>
    <w:p w14:paraId="60AEE02F" w14:textId="77777777" w:rsidR="00FD1039" w:rsidRDefault="00000000">
      <w:r>
        <w:br w:type="page"/>
      </w:r>
    </w:p>
    <w:p w14:paraId="2FDB5D91" w14:textId="77777777" w:rsidR="00FD1039" w:rsidRDefault="00000000">
      <w:pPr>
        <w:pStyle w:val="Heading1"/>
      </w:pPr>
      <w:r>
        <w:lastRenderedPageBreak/>
        <w:t>4. Required Changes, In Priority Order</w:t>
      </w:r>
    </w:p>
    <w:p w14:paraId="0DA14C23" w14:textId="77777777" w:rsidR="00FD1039" w:rsidRDefault="00000000">
      <w:pPr>
        <w:pStyle w:val="Heading1"/>
      </w:pPr>
      <w:r>
        <w:t>P0 — Core Compliance Blockers</w:t>
      </w:r>
    </w:p>
    <w:p w14:paraId="7FF280A0" w14:textId="77777777" w:rsidR="00FD1039" w:rsidRDefault="00000000">
      <w:r>
        <w:rPr>
          <w:b/>
        </w:rPr>
        <w:t>These five changes are one connected system: without all five, an erasure request or account closure cannot be handled the way the policy mandates. Build them together.</w:t>
      </w:r>
    </w:p>
    <w:p w14:paraId="153D76E2" w14:textId="77777777" w:rsidR="00FD1039" w:rsidRDefault="00000000">
      <w:pPr>
        <w:pStyle w:val="Heading2"/>
      </w:pPr>
      <w:r>
        <w:t>4.1. erasure_requests table</w:t>
      </w:r>
    </w:p>
    <w:p w14:paraId="72068035" w14:textId="77777777" w:rsidR="00FD1039" w:rsidRDefault="00000000">
      <w:r>
        <w:rPr>
          <w:b/>
          <w:color w:val="C00000"/>
        </w:rPr>
        <w:t>Priority: P0</w:t>
      </w:r>
      <w:r>
        <w:rPr>
          <w:i/>
          <w:sz w:val="20"/>
        </w:rPr>
        <w:t xml:space="preserve">      Policy reference: Section 3.5 (Patient Data Erasure Request)</w:t>
      </w:r>
    </w:p>
    <w:p w14:paraId="7E7175B9" w14:textId="77777777" w:rsidR="00FD1039" w:rsidRDefault="00000000">
      <w:r>
        <w:rPr>
          <w:b/>
        </w:rPr>
        <w:t xml:space="preserve">The problem: </w:t>
      </w:r>
      <w:r>
        <w:t>A patient can formally request their data be deleted. Today nothing in the schema represents that request as a distinct, trackable entity — only the generic activity_logs table exists, which the policy explicitly says is not sufficient on its own.</w:t>
      </w:r>
    </w:p>
    <w:p w14:paraId="61BE3FCD" w14:textId="77777777" w:rsidR="00FD1039" w:rsidRDefault="00000000">
      <w:r>
        <w:rPr>
          <w:b/>
        </w:rPr>
        <w:t xml:space="preserve">What the policy requires: </w:t>
      </w:r>
    </w:p>
    <w:p w14:paraId="5AA29694" w14:textId="77777777" w:rsidR="00FD1039" w:rsidRDefault="00000000">
      <w:pPr>
        <w:pStyle w:val="ListBullet"/>
      </w:pPr>
      <w:r>
        <w:t>“Request received and logged (activity_logs + a dedicated erasure-request record).”</w:t>
      </w:r>
    </w:p>
    <w:p w14:paraId="2A779651" w14:textId="77777777" w:rsidR="00FD1039" w:rsidRDefault="00000000">
      <w:pPr>
        <w:pStyle w:val="ListBullet"/>
      </w:pPr>
      <w:r>
        <w:t>Every linked data category must be classified into 3 buckets (delete now / retain access-locked / compliance evidence).</w:t>
      </w:r>
    </w:p>
    <w:p w14:paraId="48CE6024" w14:textId="77777777" w:rsidR="00FD1039" w:rsidRDefault="00000000">
      <w:pPr>
        <w:pStyle w:val="ListBullet"/>
      </w:pPr>
      <w:r>
        <w:t>Written response to the patient within 30 days, stating what was deleted, what is retained and why, and the projected deletion date.</w:t>
      </w:r>
    </w:p>
    <w:p w14:paraId="304B2031" w14:textId="77777777" w:rsidR="00FD1039" w:rsidRDefault="00000000">
      <w:pPr>
        <w:pStyle w:val="ListBullet"/>
      </w:pPr>
      <w:r>
        <w:t>A scheduled purge job must revisit retained data once its window lapses and complete deletion.</w:t>
      </w:r>
    </w:p>
    <w:p w14:paraId="4D1ECCD8" w14:textId="77777777" w:rsidR="00FD1039" w:rsidRDefault="00000000">
      <w:r>
        <w:rPr>
          <w:b/>
        </w:rPr>
        <w:t xml:space="preserve">Example: </w:t>
      </w:r>
    </w:p>
    <w:p w14:paraId="31A55A87" w14:textId="77777777" w:rsidR="00FD1039" w:rsidRDefault="00000000">
      <w:pPr>
        <w:ind w:left="432"/>
      </w:pPr>
      <w:r>
        <w:rPr>
          <w:i/>
        </w:rPr>
        <w:t>Priya requests erasure on 2026-08-01. Her EEG reports (7-year clinical retention) and consent records (10-year compliance evidence) have live legal-retention bases; her saved notification preferences do not. Without an erasure_requests table, there is no record of what was classified into which bucket, no enforced 30-day response deadline, and no reliable way to prove to a regulator eighteen months later that the request was actually handled and how.</w:t>
      </w:r>
    </w:p>
    <w:p w14:paraId="2F8EC1A3" w14:textId="77777777" w:rsidR="00FD1039" w:rsidRDefault="00000000">
      <w:r>
        <w:rPr>
          <w:b/>
        </w:rPr>
        <w:t xml:space="preserve">Proposed solution: </w:t>
      </w:r>
    </w:p>
    <w:p w14:paraId="12A766D4" w14:textId="77777777" w:rsidR="00FD1039" w:rsidRDefault="00000000">
      <w:pPr>
        <w:pStyle w:val="ListBullet"/>
      </w:pPr>
      <w:r>
        <w:t>New table erasure_requests: request_id, patient_id, requested_by (patient or guardian nominee), requester_verification_method, status (received / classified / partially_completed / completed), received_at, response_due_at (received_at + 30 days), responded_at, response_summary.</w:t>
      </w:r>
    </w:p>
    <w:p w14:paraId="3B2099F9" w14:textId="77777777" w:rsidR="00FD1039" w:rsidRDefault="00000000">
      <w:pPr>
        <w:pStyle w:val="ListBullet"/>
      </w:pPr>
      <w:r>
        <w:t>New table erasure_request_items: request_id FK, data_category (text, e.g. 'anamnesis', 'eeg_files', 'notifications'), bucket (delete_now / retain_locked / compliance_evidence), legal_basis (text, nullable), retention_expires_at (nullable), deleted_at (nullable) — one row per data category evaluated in the classification pass.</w:t>
      </w:r>
    </w:p>
    <w:p w14:paraId="6CBFBFD1" w14:textId="77777777" w:rsidR="00FD1039" w:rsidRDefault="00000000">
      <w:pPr>
        <w:pStyle w:val="ListBullet"/>
      </w:pPr>
      <w:r>
        <w:lastRenderedPageBreak/>
        <w:t>Scheduled worker (new, under app/workers/) that queries erasure_request_items where bucket='retain_locked' and retention_expires_at has passed, and executes the deletion/anonymisation defined in item 4.2.</w:t>
      </w:r>
    </w:p>
    <w:p w14:paraId="132EB761" w14:textId="77777777" w:rsidR="00FD1039" w:rsidRDefault="00000000">
      <w:r>
        <w:rPr>
          <w:b/>
          <w:color w:val="C00000"/>
        </w:rPr>
        <w:t xml:space="preserve">Compliance note: </w:t>
      </w:r>
      <w:r>
        <w:t>The policy is explicit that an erasure request must never trigger immediate bulk deletion — it triggers a classification pass. A single 'delete everything for this patient_id' shortcut is a direct violation of Section 3.5 and would delete data (e.g. consent records, audit logs) that the policy requires to survive as proof of lawful processing.</w:t>
      </w:r>
    </w:p>
    <w:p w14:paraId="023DC0DC" w14:textId="77777777" w:rsidR="00FD1039" w:rsidRDefault="00FD1039"/>
    <w:p w14:paraId="161C6961" w14:textId="77777777" w:rsidR="00FD1039" w:rsidRDefault="00000000">
      <w:pPr>
        <w:pStyle w:val="Heading2"/>
      </w:pPr>
      <w:r>
        <w:t>4.2. Retention + anonymisation tracking columns</w:t>
      </w:r>
    </w:p>
    <w:p w14:paraId="5B035D38" w14:textId="77777777" w:rsidR="00FD1039" w:rsidRDefault="00000000">
      <w:r>
        <w:rPr>
          <w:b/>
          <w:color w:val="C00000"/>
        </w:rPr>
        <w:t>Priority: P0</w:t>
      </w:r>
      <w:r>
        <w:rPr>
          <w:i/>
          <w:sz w:val="20"/>
        </w:rPr>
        <w:t xml:space="preserve">      Policy reference: Sections 6 and 7 (Data Retention Schedule; Deletion &amp; Anonymisation Procedure)</w:t>
      </w:r>
    </w:p>
    <w:p w14:paraId="2B1C19EB" w14:textId="77777777" w:rsidR="00FD1039" w:rsidRDefault="00000000">
      <w:r>
        <w:rPr>
          <w:b/>
        </w:rPr>
        <w:t xml:space="preserve">The problem: </w:t>
      </w:r>
      <w:r>
        <w:t>The policy defines exact retention periods per data category (7 years clinical, 8 years financial, 10 years compliance/audit, 1 year notifications) and a precise anonymisation rule for retained identity fields on profiles. None of this is representable today — there is no column anywhere that stores a retention-expiry date, and profiles has no marker for “this row has already been anonymised.”</w:t>
      </w:r>
    </w:p>
    <w:p w14:paraId="701B0769" w14:textId="77777777" w:rsidR="00FD1039" w:rsidRDefault="00000000">
      <w:r>
        <w:rPr>
          <w:b/>
        </w:rPr>
        <w:t xml:space="preserve">What the policy requires: </w:t>
      </w:r>
    </w:p>
    <w:p w14:paraId="57F84C71" w14:textId="77777777" w:rsidR="00FD1039" w:rsidRDefault="00000000">
      <w:pPr>
        <w:pStyle w:val="ListBullet"/>
      </w:pPr>
      <w:r>
        <w:t>Bucket 2 (retain, access-locked): identifying fields on profiles (first_name, last_name, email, phone, address, profile_photo_s3_key) get anonymised in place once every linked retention window has cleared — the latest one, not the earliest.</w:t>
      </w:r>
    </w:p>
    <w:p w14:paraId="6B996A48" w14:textId="77777777" w:rsidR="00FD1039" w:rsidRDefault="00000000">
      <w:pPr>
        <w:pStyle w:val="ListBullet"/>
      </w:pPr>
      <w:r>
        <w:t>Anonymisation must preserve the FK-linked clinical/financial rows unchanged; only identity fields change.</w:t>
      </w:r>
    </w:p>
    <w:p w14:paraId="778F472F" w14:textId="77777777" w:rsidR="00FD1039" w:rsidRDefault="00000000">
      <w:pPr>
        <w:pStyle w:val="ListBullet"/>
      </w:pPr>
      <w:r>
        <w:t>On final anonymisation, Cognito AdminDeleteUser is called and cognito_sub becomes an intentional orphan reference.</w:t>
      </w:r>
    </w:p>
    <w:p w14:paraId="4EAAE02B" w14:textId="77777777" w:rsidR="00FD1039" w:rsidRDefault="00000000">
      <w:r>
        <w:rPr>
          <w:b/>
        </w:rPr>
        <w:t xml:space="preserve">Example: </w:t>
      </w:r>
    </w:p>
    <w:p w14:paraId="0C66A279" w14:textId="77777777" w:rsidR="00FD1039" w:rsidRDefault="00000000">
      <w:pPr>
        <w:ind w:left="432"/>
      </w:pPr>
      <w:r>
        <w:rPr>
          <w:i/>
        </w:rPr>
        <w:t>Rahul's last clinical contact was 2025-01-15 (clinical retention clears 2032-01-15) and his last payment was 2025-03-01 (financial retention clears 2033-03-01). His profile identity fields must stay live until 2033-03-01 — the later of the two — even though his clinical data alone would have cleared a year earlier. Without a per-patient computed retention-expiry, there is no reliable way to know which date governs, and a naive per-table job risks anonymising his profile too early while financial records still legally require an identifiable owner.</w:t>
      </w:r>
    </w:p>
    <w:p w14:paraId="5873AF0F" w14:textId="77777777" w:rsidR="00FD1039" w:rsidRDefault="00000000">
      <w:r>
        <w:rPr>
          <w:b/>
        </w:rPr>
        <w:t xml:space="preserve">Proposed solution: </w:t>
      </w:r>
    </w:p>
    <w:p w14:paraId="690FA7A4" w14:textId="77777777" w:rsidR="00FD1039" w:rsidRDefault="00000000">
      <w:pPr>
        <w:pStyle w:val="ListBullet"/>
      </w:pPr>
      <w:r>
        <w:lastRenderedPageBreak/>
        <w:t>Add is_anonymized boolean (default false) and anonymized_at timestamp to profiles — idempotency marker so the purge job never double-processes a row and downstream queries can filter anonymised profiles out of normal views.</w:t>
      </w:r>
    </w:p>
    <w:p w14:paraId="189F2C93" w14:textId="77777777" w:rsidR="00FD1039" w:rsidRDefault="00000000">
      <w:pPr>
        <w:pStyle w:val="ListBullet"/>
      </w:pPr>
      <w:r>
        <w:t>Add retention_basis_cleared_at (nullable timestamp) as a computed/maintained field on patients, reflecting the *latest* of: last clinical contact + 7y, last financial transaction + 8y. Maintain via a view or a trigger-refreshed column rather than a live multi-table scan on every read.</w:t>
      </w:r>
    </w:p>
    <w:p w14:paraId="2D7DCFC1" w14:textId="77777777" w:rsidR="00FD1039" w:rsidRDefault="00000000">
      <w:pPr>
        <w:pStyle w:val="ListBullet"/>
      </w:pPr>
      <w:r>
        <w:t>Add legal_hold boolean (default false) to patients and doctors — covers the policy's own Bucket 2 example of 'active medico-legal case' overriding the normal clock.</w:t>
      </w:r>
    </w:p>
    <w:p w14:paraId="4E97FC79" w14:textId="77777777" w:rsidR="00FD1039" w:rsidRDefault="00000000">
      <w:pPr>
        <w:pStyle w:val="ListBullet"/>
      </w:pPr>
      <w:r>
        <w:t>Anonymisation routine (same worker as 4.1): UPDATE profiles SET first_name/last_name/email/phone/address/profile_photo_s3_key = pseudonymised values, is_anonymized = true WHERE retention_basis_cleared_at &lt;= now() AND legal_hold = false, then call Cognito AdminDeleteUser.</w:t>
      </w:r>
    </w:p>
    <w:p w14:paraId="37BD943C" w14:textId="77777777" w:rsidR="00FD1039" w:rsidRDefault="00000000">
      <w:r>
        <w:rPr>
          <w:b/>
          <w:color w:val="C00000"/>
        </w:rPr>
        <w:t xml:space="preserve">Compliance note: </w:t>
      </w:r>
      <w:r>
        <w:t>“Retain everything permanently” is explicitly named in the policy as a non-compliant default (Guiding Principle 5). Not building this is equivalent to choosing that non-compliant default by omission.</w:t>
      </w:r>
    </w:p>
    <w:p w14:paraId="7EEC994F" w14:textId="77777777" w:rsidR="00FD1039" w:rsidRDefault="00FD1039"/>
    <w:p w14:paraId="55C271E5" w14:textId="77777777" w:rsidR="00FD1039" w:rsidRDefault="00000000">
      <w:pPr>
        <w:pStyle w:val="Heading2"/>
      </w:pPr>
      <w:r>
        <w:t>4.3. data_portability_requests table</w:t>
      </w:r>
    </w:p>
    <w:p w14:paraId="1F984452" w14:textId="77777777" w:rsidR="00FD1039" w:rsidRDefault="00000000">
      <w:r>
        <w:rPr>
          <w:b/>
          <w:color w:val="C00000"/>
        </w:rPr>
        <w:t>Priority: P0</w:t>
      </w:r>
      <w:r>
        <w:rPr>
          <w:i/>
          <w:sz w:val="20"/>
        </w:rPr>
        <w:t xml:space="preserve">      Policy reference: Section 3.6 (Patient Data Portability)</w:t>
      </w:r>
    </w:p>
    <w:p w14:paraId="2F81C75F" w14:textId="77777777" w:rsidR="00FD1039" w:rsidRDefault="00000000">
      <w:r>
        <w:rPr>
          <w:b/>
        </w:rPr>
        <w:t xml:space="preserve">The problem: </w:t>
      </w:r>
      <w:r>
        <w:t>Patients have an enforceable right (DPDP + GDPR Art. 20) to receive a structured export of their own data within 30 days. There is no table tracking that a request was made, what format was chosen, or that the 30-day SLA was met.</w:t>
      </w:r>
    </w:p>
    <w:p w14:paraId="20CA493A" w14:textId="77777777" w:rsidR="00FD1039" w:rsidRDefault="00000000">
      <w:r>
        <w:rPr>
          <w:b/>
        </w:rPr>
        <w:t xml:space="preserve">What the policy requires: </w:t>
      </w:r>
    </w:p>
    <w:p w14:paraId="0B67F503" w14:textId="77777777" w:rsidR="00FD1039" w:rsidRDefault="00000000">
      <w:pPr>
        <w:pStyle w:val="ListBullet"/>
      </w:pPr>
      <w:r>
        <w:t>Format: JSON export and/or PDF summary, patient's choice.</w:t>
      </w:r>
    </w:p>
    <w:p w14:paraId="2E2F3DBF" w14:textId="77777777" w:rsidR="00FD1039" w:rsidRDefault="00000000">
      <w:pPr>
        <w:pStyle w:val="ListBullet"/>
      </w:pPr>
      <w:r>
        <w:t>Scope: profile, anamnesis, PRS responses/results, EEG reports, treatment plans, session logs, consent history, appointment history.</w:t>
      </w:r>
    </w:p>
    <w:p w14:paraId="65609111" w14:textId="77777777" w:rsidR="00FD1039" w:rsidRDefault="00000000">
      <w:pPr>
        <w:pStyle w:val="ListBullet"/>
      </w:pPr>
      <w:r>
        <w:t>Excluded: confidential doctor notes, internal audit/activity logs, de-identified analytics derivatives.</w:t>
      </w:r>
    </w:p>
    <w:p w14:paraId="44AA1A5C" w14:textId="77777777" w:rsidR="00FD1039" w:rsidRDefault="00000000">
      <w:pPr>
        <w:pStyle w:val="ListBullet"/>
      </w:pPr>
      <w:r>
        <w:t>Delivery: presigned S3 URL (time-limited) or encrypted email, within 30 days.</w:t>
      </w:r>
    </w:p>
    <w:p w14:paraId="4CC20573" w14:textId="77777777" w:rsidR="00FD1039" w:rsidRDefault="00000000">
      <w:r>
        <w:rPr>
          <w:b/>
        </w:rPr>
        <w:t xml:space="preserve">Example: </w:t>
      </w:r>
    </w:p>
    <w:p w14:paraId="4A57F84D" w14:textId="77777777" w:rsidR="00FD1039" w:rsidRDefault="00000000">
      <w:pPr>
        <w:ind w:left="432"/>
      </w:pPr>
      <w:r>
        <w:rPr>
          <w:i/>
        </w:rPr>
        <w:t>A patient transferring to a competing clinic outside the Anava network asks for a full export before leaving. Today, receptionist/admin staff would need to manually query multiple tables with no audit trail proving the request was fulfilled on time — no way to answer 'did we meet the 30-day SLA for this specific request' if it's ever disputed.</w:t>
      </w:r>
    </w:p>
    <w:p w14:paraId="2BDD6E8D" w14:textId="77777777" w:rsidR="00FD1039" w:rsidRDefault="00000000">
      <w:r>
        <w:rPr>
          <w:b/>
        </w:rPr>
        <w:t xml:space="preserve">Proposed solution: </w:t>
      </w:r>
    </w:p>
    <w:p w14:paraId="68E6E31F" w14:textId="77777777" w:rsidR="00FD1039" w:rsidRDefault="00000000">
      <w:pPr>
        <w:pStyle w:val="ListBullet"/>
      </w:pPr>
      <w:r>
        <w:lastRenderedPageBreak/>
        <w:t>New table data_portability_requests: request_id, patient_id, requested_by, format (json / pdf), status (pending / generating / delivered / expired), delivery_method, delivered_at, download_expires_at, created_at.</w:t>
      </w:r>
    </w:p>
    <w:p w14:paraId="7CA41C89" w14:textId="77777777" w:rsidR="00FD1039" w:rsidRDefault="00000000">
      <w:pPr>
        <w:pStyle w:val="ListBullet"/>
      </w:pPr>
      <w:r>
        <w:t>Export job assembles the in-scope tables per the exclusion list above and writes the artifact to S3 under a per-request key; download_expires_at drives presigned-URL TTL.</w:t>
      </w:r>
    </w:p>
    <w:p w14:paraId="3EE7B2C6" w14:textId="77777777" w:rsidR="00FD1039" w:rsidRDefault="00FD1039"/>
    <w:p w14:paraId="59C22B46" w14:textId="77777777" w:rsidR="00FD1039" w:rsidRDefault="00000000">
      <w:pPr>
        <w:pStyle w:val="Heading2"/>
      </w:pPr>
      <w:r>
        <w:t>4.4. Patient closure-state modelling</w:t>
      </w:r>
    </w:p>
    <w:p w14:paraId="0902F200" w14:textId="77777777" w:rsidR="00FD1039" w:rsidRDefault="00000000">
      <w:r>
        <w:rPr>
          <w:b/>
          <w:color w:val="C00000"/>
        </w:rPr>
        <w:t>Priority: P0</w:t>
      </w:r>
      <w:r>
        <w:rPr>
          <w:i/>
          <w:sz w:val="20"/>
        </w:rPr>
        <w:t xml:space="preserve">      Policy reference: Sections 3.1 and 3.2 (Voluntary Closure; Dormant/Inactive Closure)</w:t>
      </w:r>
    </w:p>
    <w:p w14:paraId="510AAE1C" w14:textId="77777777" w:rsidR="00FD1039" w:rsidRDefault="00000000">
      <w:r>
        <w:rPr>
          <w:b/>
        </w:rPr>
        <w:t xml:space="preserve">The problem: </w:t>
      </w:r>
      <w:r>
        <w:t>patients currently has only deleted_at/deleted_by — a single generic soft-delete flag. The policy requires distinguishing voluntary closure (9-month rejoin window, read-only access) from dormant auto-closure (no rejoin window) from clinic-transfer-terminated, and requires a 30-day advance notification before dormant auto-closure fires. None of this state exists.</w:t>
      </w:r>
    </w:p>
    <w:p w14:paraId="21C64649" w14:textId="77777777" w:rsidR="00FD1039" w:rsidRDefault="00000000">
      <w:r>
        <w:rPr>
          <w:b/>
        </w:rPr>
        <w:t xml:space="preserve">What the policy requires: </w:t>
      </w:r>
    </w:p>
    <w:p w14:paraId="4E831764" w14:textId="77777777" w:rsidR="00FD1039" w:rsidRDefault="00000000">
      <w:pPr>
        <w:pStyle w:val="ListBullet"/>
      </w:pPr>
      <w:r>
        <w:t>Voluntary closure: rejoin within 9 months restores the same record; after 9 months, new registration required.</w:t>
      </w:r>
    </w:p>
    <w:p w14:paraId="16252C00" w14:textId="77777777" w:rsidR="00FD1039" w:rsidRDefault="00000000">
      <w:pPr>
        <w:pStyle w:val="ListBullet"/>
      </w:pPr>
      <w:r>
        <w:t>Dormant closure: system-initiated after inactivity threshold (3 months pre-treatment / 1 year post-treatment); 30-day advance in-app notification must fire before closure executes.</w:t>
      </w:r>
    </w:p>
    <w:p w14:paraId="2B15B938" w14:textId="77777777" w:rsidR="00FD1039" w:rsidRDefault="00000000">
      <w:pPr>
        <w:pStyle w:val="ListBullet"/>
      </w:pPr>
      <w:r>
        <w:t>Portal access is read-only during the rejoin window, not fully blocked.</w:t>
      </w:r>
    </w:p>
    <w:p w14:paraId="7B6F5C2D" w14:textId="77777777" w:rsidR="00FD1039" w:rsidRDefault="00000000">
      <w:pPr>
        <w:pStyle w:val="ListBullet"/>
      </w:pPr>
      <w:r>
        <w:t>Dormant-closure rejoin: no rejoin window — full re-registration required.</w:t>
      </w:r>
    </w:p>
    <w:p w14:paraId="7A302B72" w14:textId="77777777" w:rsidR="00FD1039" w:rsidRDefault="00000000">
      <w:r>
        <w:rPr>
          <w:b/>
        </w:rPr>
        <w:t xml:space="preserve">Example: </w:t>
      </w:r>
    </w:p>
    <w:p w14:paraId="24FFB36B" w14:textId="77777777" w:rsidR="00FD1039" w:rsidRDefault="00000000">
      <w:pPr>
        <w:ind w:left="432"/>
      </w:pPr>
      <w:r>
        <w:rPr>
          <w:i/>
        </w:rPr>
        <w:t>Anjali stops booking appointments after her third session. The system must know her last treatment session date to compute the 1-year dormancy clock, must send her a 30-day warning notification before auto-closing her, and — if she does come back at month 8 — must know she's inside the 9-month voluntary rejoin window (were this a voluntary closure) versus needing to know a dormant auto-closure has no rejoin window at all. A single deleted_at timestamp can't answer any of these questions.</w:t>
      </w:r>
    </w:p>
    <w:p w14:paraId="0092E538" w14:textId="77777777" w:rsidR="00FD1039" w:rsidRDefault="00000000">
      <w:r>
        <w:rPr>
          <w:b/>
        </w:rPr>
        <w:t xml:space="preserve">Proposed solution: </w:t>
      </w:r>
    </w:p>
    <w:p w14:paraId="1E70448D" w14:textId="77777777" w:rsidR="00FD1039" w:rsidRDefault="00000000">
      <w:pPr>
        <w:pStyle w:val="ListBullet"/>
      </w:pPr>
      <w:r>
        <w:t>Add to patients: closure_type (nullable text: voluntary / dormant / transfer_terminated), closure_reason (text, nullable), closed_at (timestamp, nullable), rejoin_deadline (timestamp, nullable — set to closed_at + 9 months only for closure_type='voluntary'), portal_access_mode (text default 'full', values full/read_only/disabled).</w:t>
      </w:r>
    </w:p>
    <w:p w14:paraId="54029955" w14:textId="77777777" w:rsidR="00FD1039" w:rsidRDefault="00000000">
      <w:pPr>
        <w:pStyle w:val="ListBullet"/>
      </w:pPr>
      <w:r>
        <w:t>Add last_clinical_contact_at (timestamp, maintained by trigger or app-layer write-through on appointment/session completion) — feeds both the dormancy clock and the 7-year clinical retention clock in item 4.2.</w:t>
      </w:r>
    </w:p>
    <w:p w14:paraId="02C13B7F" w14:textId="77777777" w:rsidR="00FD1039" w:rsidRDefault="00000000">
      <w:pPr>
        <w:pStyle w:val="ListBullet"/>
      </w:pPr>
      <w:r>
        <w:lastRenderedPageBreak/>
        <w:t>Scheduled worker computes dormancy per the two thresholds in the summary table (3 months pre-treatment, 1 year post-treatment), inserts a notification 30 days before the threshold, and executes closure (closure_type='dormant') if no response.</w:t>
      </w:r>
    </w:p>
    <w:p w14:paraId="4A141841" w14:textId="77777777" w:rsidR="00FD1039" w:rsidRDefault="00FD1039"/>
    <w:p w14:paraId="7FF35A64" w14:textId="77777777" w:rsidR="00FD1039" w:rsidRDefault="00000000">
      <w:pPr>
        <w:pStyle w:val="Heading2"/>
      </w:pPr>
      <w:r>
        <w:t>4.5. Scheduled purge / anonymisation worker</w:t>
      </w:r>
    </w:p>
    <w:p w14:paraId="35DFAAEF" w14:textId="77777777" w:rsidR="00FD1039" w:rsidRDefault="00000000">
      <w:r>
        <w:rPr>
          <w:b/>
          <w:color w:val="C00000"/>
        </w:rPr>
        <w:t>Priority: P0</w:t>
      </w:r>
      <w:r>
        <w:rPr>
          <w:i/>
          <w:sz w:val="20"/>
        </w:rPr>
        <w:t xml:space="preserve">      Policy reference: Sections 7.2 and 7.3 (Technical Implementation; Backup Purge)</w:t>
      </w:r>
    </w:p>
    <w:p w14:paraId="60AD6F5C" w14:textId="77777777" w:rsidR="00FD1039" w:rsidRDefault="00000000">
      <w:r>
        <w:rPr>
          <w:b/>
        </w:rPr>
        <w:t xml:space="preserve">The problem: </w:t>
      </w:r>
      <w:r>
        <w:t>app/workers/ contains only event_relay.py. There is no scheduled job anywhere in the codebase that executes Bucket 1 hard-deletes, Bucket 2 anonymisation, or S3/backup purge logic. Every retention rule in Section 6 and every deletion rule in Section 7 is currently unenforceable — the columns in 4.1/4.2 give you the data to act on, but nothing acts on it without this.</w:t>
      </w:r>
    </w:p>
    <w:p w14:paraId="789602C5" w14:textId="77777777" w:rsidR="00FD1039" w:rsidRDefault="00000000">
      <w:r>
        <w:rPr>
          <w:b/>
        </w:rPr>
        <w:t xml:space="preserve">What the policy requires: </w:t>
      </w:r>
    </w:p>
    <w:p w14:paraId="2DF5446A" w14:textId="77777777" w:rsidR="00FD1039" w:rsidRDefault="00000000">
      <w:pPr>
        <w:pStyle w:val="ListBullet"/>
      </w:pPr>
      <w:r>
        <w:t>Bucket 1: hard DELETE from RDS + S3 within 30 days of classification (including a second pass on existing soft-deleted rows — deleted_at alone does not satisfy this).</w:t>
      </w:r>
    </w:p>
    <w:p w14:paraId="354E724C" w14:textId="77777777" w:rsidR="00FD1039" w:rsidRDefault="00000000">
      <w:pPr>
        <w:pStyle w:val="ListBullet"/>
      </w:pPr>
      <w:r>
        <w:t>Bucket 2: anonymise once the latest linked retention window clears.</w:t>
      </w:r>
    </w:p>
    <w:p w14:paraId="1D8394A5" w14:textId="77777777" w:rsidR="00FD1039" w:rsidRDefault="00000000">
      <w:pPr>
        <w:pStyle w:val="ListBullet"/>
      </w:pPr>
      <w:r>
        <w:t>S3: EEG files/reports and session media hard-deleted (incl. all object versions) on their 7-year expiry; profile photos deleted immediately on closure/erasure with no retention basis.</w:t>
      </w:r>
    </w:p>
    <w:p w14:paraId="5BEA38E9" w14:textId="77777777" w:rsidR="00FD1039" w:rsidRDefault="00000000">
      <w:pPr>
        <w:pStyle w:val="ListBullet"/>
      </w:pPr>
      <w:r>
        <w:t>All S3 deletions logged in activity_logs with object key, bucket, reason, actor.</w:t>
      </w:r>
    </w:p>
    <w:p w14:paraId="43961A9C" w14:textId="77777777" w:rsidR="00FD1039" w:rsidRDefault="00000000">
      <w:pPr>
        <w:pStyle w:val="ListBullet"/>
      </w:pPr>
      <w:r>
        <w:t>RDS automated backups age out at 35 days automatically; manual/on-demand snapshots must be explicitly deleted and tagged with an intended deletion date at creation time (see item 4.10).</w:t>
      </w:r>
    </w:p>
    <w:p w14:paraId="7087B5F3" w14:textId="77777777" w:rsidR="00FD1039" w:rsidRDefault="00000000">
      <w:r>
        <w:rPr>
          <w:b/>
        </w:rPr>
        <w:t xml:space="preserve">Example: </w:t>
      </w:r>
    </w:p>
    <w:p w14:paraId="215C1EF8" w14:textId="77777777" w:rsidR="00FD1039" w:rsidRDefault="00000000">
      <w:pPr>
        <w:ind w:left="432"/>
      </w:pPr>
      <w:r>
        <w:rPr>
          <w:i/>
        </w:rPr>
        <w:t>Without this worker, every retention column added in 4.1/4.2/4.4 is inert — a compliance auditor asking "show me your data got deleted when it said it would" gets no evidence, because nothing in the system actually performs the deletion on schedule. The columns describe intent; the worker is what makes it real.</w:t>
      </w:r>
    </w:p>
    <w:p w14:paraId="661CD4F3" w14:textId="77777777" w:rsidR="00FD1039" w:rsidRDefault="00000000">
      <w:r>
        <w:rPr>
          <w:b/>
        </w:rPr>
        <w:t xml:space="preserve">Proposed solution: </w:t>
      </w:r>
    </w:p>
    <w:p w14:paraId="7B226BB4" w14:textId="77777777" w:rsidR="00FD1039" w:rsidRDefault="00000000">
      <w:pPr>
        <w:pStyle w:val="ListBullet"/>
      </w:pPr>
      <w:r>
        <w:t>New app/workers/retention_purge.py (or a proper module under app/modules/audit/ or a new app/modules/compliance/), run on a schedule (daily is reasonable given 30-day and 7/8/10-year windows).</w:t>
      </w:r>
    </w:p>
    <w:p w14:paraId="728ADB23" w14:textId="77777777" w:rsidR="00FD1039" w:rsidRDefault="00000000">
      <w:pPr>
        <w:pStyle w:val="ListBullet"/>
      </w:pPr>
      <w:r>
        <w:t>Steps: (1) hard-delete Bucket-1 rows/objects past their 30-day window, including a sweep of already soft-deleted rows older than 30 days; (2) anonymise profiles where retention_basis_cleared_at has passed and legal_hold is false; (3) delete S3 objects (with version cleanup) whose linked clinical record has passed its 7-year window; (4) log every deletion to activity_logs with object key / bucket / reason / actor='system'.</w:t>
      </w:r>
    </w:p>
    <w:p w14:paraId="5405CC91" w14:textId="77777777" w:rsidR="00FD1039" w:rsidRDefault="00FD1039"/>
    <w:p w14:paraId="7D85C471" w14:textId="77777777" w:rsidR="00FD1039" w:rsidRDefault="00000000">
      <w:r>
        <w:br w:type="page"/>
      </w:r>
    </w:p>
    <w:p w14:paraId="0FCE273A" w14:textId="77777777" w:rsidR="00FD1039" w:rsidRDefault="00000000">
      <w:pPr>
        <w:pStyle w:val="Heading1"/>
      </w:pPr>
      <w:r>
        <w:lastRenderedPageBreak/>
        <w:t>P1 — Required, Trigger Already Live or Imminent</w:t>
      </w:r>
    </w:p>
    <w:p w14:paraId="72C39F6E" w14:textId="77777777" w:rsidR="00FD1039" w:rsidRDefault="00000000">
      <w:pPr>
        <w:pStyle w:val="Heading2"/>
      </w:pPr>
      <w:r>
        <w:t>4.6. Minor / guardian consent linkage</w:t>
      </w:r>
    </w:p>
    <w:p w14:paraId="55C8241D" w14:textId="77777777" w:rsidR="00FD1039" w:rsidRDefault="00000000">
      <w:r>
        <w:rPr>
          <w:b/>
          <w:color w:val="C55A00"/>
        </w:rPr>
        <w:t>Priority: P1</w:t>
      </w:r>
      <w:r>
        <w:rPr>
          <w:i/>
          <w:sz w:val="20"/>
        </w:rPr>
        <w:t xml:space="preserve">      Policy reference: Section 3.4 (Minor / Guardian Accounts)</w:t>
      </w:r>
    </w:p>
    <w:p w14:paraId="7A1E4EC3" w14:textId="77777777" w:rsidR="00FD1039" w:rsidRDefault="00000000">
      <w:r>
        <w:rPr>
          <w:b/>
        </w:rPr>
        <w:t xml:space="preserve">The problem: </w:t>
      </w:r>
      <w:r>
        <w:t>ADHD is already in the disease catalogue, so paediatric patients are a live scenario, not a future one. The policy names guardian_id on consent_records explicitly as the schema hook, and it doesn't exist — grepped the full app and migrations for "guardian": zero hits anywhere.</w:t>
      </w:r>
    </w:p>
    <w:p w14:paraId="77C0940F" w14:textId="77777777" w:rsidR="00FD1039" w:rsidRDefault="00000000">
      <w:r>
        <w:rPr>
          <w:b/>
        </w:rPr>
        <w:t xml:space="preserve">What the policy requires: </w:t>
      </w:r>
    </w:p>
    <w:p w14:paraId="31FD0227" w14:textId="77777777" w:rsidR="00FD1039" w:rsidRDefault="00000000">
      <w:pPr>
        <w:pStyle w:val="ListBullet"/>
      </w:pPr>
      <w:r>
        <w:t>Registration of a minor requires verifiable parental/guardian consent, recorded against the patient record.</w:t>
      </w:r>
    </w:p>
    <w:p w14:paraId="52487200" w14:textId="77777777" w:rsidR="00FD1039" w:rsidRDefault="00000000">
      <w:pPr>
        <w:pStyle w:val="ListBullet"/>
      </w:pPr>
      <w:r>
        <w:t>On closure: the guardian, not the minor, initiates and signs the closure-consent form.</w:t>
      </w:r>
    </w:p>
    <w:p w14:paraId="404A500D" w14:textId="77777777" w:rsidR="00FD1039" w:rsidRDefault="00000000">
      <w:pPr>
        <w:pStyle w:val="ListBullet"/>
      </w:pPr>
      <w:r>
        <w:t>On erasure request: the guardian acts as the Data Principal's nominee until the minor turns 18.</w:t>
      </w:r>
    </w:p>
    <w:p w14:paraId="7DEDEBB2" w14:textId="77777777" w:rsidR="00FD1039" w:rsidRDefault="00000000">
      <w:pPr>
        <w:pStyle w:val="ListBullet"/>
      </w:pPr>
      <w:r>
        <w:t>On turning 18: fresh consent capture under the patient's own identity should be prompted (policy explicitly flags this specific sub-point as Phase 2 — noted here for completeness, not required now).</w:t>
      </w:r>
    </w:p>
    <w:p w14:paraId="2B77F7DD" w14:textId="77777777" w:rsidR="00FD1039" w:rsidRDefault="00000000">
      <w:r>
        <w:rPr>
          <w:b/>
        </w:rPr>
        <w:t xml:space="preserve">Example: </w:t>
      </w:r>
    </w:p>
    <w:p w14:paraId="346C97DA" w14:textId="77777777" w:rsidR="00FD1039" w:rsidRDefault="00000000">
      <w:pPr>
        <w:ind w:left="432"/>
      </w:pPr>
      <w:r>
        <w:rPr>
          <w:i/>
        </w:rPr>
        <w:t>A 14-year-old ADHD patient registers. Consent must legally be captured from a parent/guardian, not the patient. Today's consent_records schema has patient_id and staff_id but no field to record which adult actually signed on the minor's behalf — so a signed consent for a minor is indistinguishable from a self-signed adult consent, which is not defensible if challenged.</w:t>
      </w:r>
    </w:p>
    <w:p w14:paraId="450A535F" w14:textId="77777777" w:rsidR="00FD1039" w:rsidRDefault="00000000">
      <w:r>
        <w:rPr>
          <w:b/>
        </w:rPr>
        <w:t xml:space="preserve">Proposed solution: </w:t>
      </w:r>
    </w:p>
    <w:p w14:paraId="382D40CC" w14:textId="77777777" w:rsidR="00FD1039" w:rsidRDefault="00000000">
      <w:pPr>
        <w:pStyle w:val="ListBullet"/>
      </w:pPr>
      <w:r>
        <w:t>Add guardian_id (uuid, nullable, FK to profiles) to consent_records — the specific column the policy names.</w:t>
      </w:r>
    </w:p>
    <w:p w14:paraId="3B1BB16B" w14:textId="77777777" w:rsidR="00FD1039" w:rsidRDefault="00000000">
      <w:pPr>
        <w:pStyle w:val="ListBullet"/>
      </w:pPr>
      <w:r>
        <w:t>Add is_minor (boolean, computed from profiles.dob at registration time or derived on read) to patients, or derive it live from profiles.dob — either works; a stored flag is cheaper to query against for guardian-required gating.</w:t>
      </w:r>
    </w:p>
    <w:p w14:paraId="30723182" w14:textId="77777777" w:rsidR="00FD1039" w:rsidRDefault="00000000">
      <w:pPr>
        <w:pStyle w:val="ListBullet"/>
      </w:pPr>
      <w:r>
        <w:t>App-layer: registration and closure flows must require guardian_id to be set on the consent_records row whenever the patient is a minor at time of signing.</w:t>
      </w:r>
    </w:p>
    <w:p w14:paraId="27E227B0" w14:textId="77777777" w:rsidR="00FD1039" w:rsidRDefault="00FD1039"/>
    <w:p w14:paraId="2A194E26" w14:textId="77777777" w:rsidR="00FD1039" w:rsidRDefault="00000000">
      <w:pPr>
        <w:pStyle w:val="Heading2"/>
      </w:pPr>
      <w:r>
        <w:t>4.7. Staff termination-type + dual-authorization for for-cause closures</w:t>
      </w:r>
    </w:p>
    <w:p w14:paraId="27D7DF06" w14:textId="77777777" w:rsidR="00FD1039" w:rsidRDefault="00000000">
      <w:r>
        <w:rPr>
          <w:b/>
          <w:color w:val="C55A00"/>
        </w:rPr>
        <w:t>Priority: P1</w:t>
      </w:r>
      <w:r>
        <w:rPr>
          <w:i/>
          <w:sz w:val="20"/>
        </w:rPr>
        <w:t xml:space="preserve">      Policy reference: Section 4.3 (Involuntary — for-cause)</w:t>
      </w:r>
    </w:p>
    <w:p w14:paraId="1F93AD24" w14:textId="77777777" w:rsidR="00FD1039" w:rsidRDefault="00000000">
      <w:r>
        <w:rPr>
          <w:b/>
        </w:rPr>
        <w:lastRenderedPageBreak/>
        <w:t xml:space="preserve">The problem: </w:t>
      </w:r>
      <w:r>
        <w:t>doctors/clinical_assistants/receptionists each have only a single deleted_by/deleted_at pair. The policy requires distinguishing voluntary / no-cause / for-cause terminations (different access-revocation timing) and requires two separate admin-tier users to authorize a for-cause termination, with a mandatory logged reason. None of this is representable — a single deleted_by column cannot record two authorizers.</w:t>
      </w:r>
    </w:p>
    <w:p w14:paraId="7F660E3F" w14:textId="77777777" w:rsidR="00FD1039" w:rsidRDefault="00000000">
      <w:r>
        <w:rPr>
          <w:b/>
        </w:rPr>
        <w:t xml:space="preserve">What the policy requires: </w:t>
      </w:r>
    </w:p>
    <w:p w14:paraId="093D94BB" w14:textId="77777777" w:rsidR="00FD1039" w:rsidRDefault="00000000">
      <w:pPr>
        <w:pStyle w:val="ListBullet"/>
      </w:pPr>
      <w:r>
        <w:t>For-cause: access revocation is same-day, Cognito disabled before or simultaneous with the termination conversation.</w:t>
      </w:r>
    </w:p>
    <w:p w14:paraId="1A7F7791" w14:textId="77777777" w:rsidR="00FD1039" w:rsidRDefault="00000000">
      <w:pPr>
        <w:pStyle w:val="ListBullet"/>
      </w:pPr>
      <w:r>
        <w:t>Requires two-person authorization (two separate admin-tier users), with a mandatory logged reason.</w:t>
      </w:r>
    </w:p>
    <w:p w14:paraId="271AC0E8" w14:textId="77777777" w:rsidR="00FD1039" w:rsidRDefault="00000000">
      <w:pPr>
        <w:pStyle w:val="ListBullet"/>
      </w:pPr>
      <w:r>
        <w:t>If the cause involves data handling or security, it feeds into the breach-notification process (item 4.8).</w:t>
      </w:r>
    </w:p>
    <w:p w14:paraId="486745D8" w14:textId="77777777" w:rsidR="00FD1039" w:rsidRDefault="00000000">
      <w:pPr>
        <w:pStyle w:val="ListBullet"/>
      </w:pPr>
      <w:r>
        <w:t>Clinical contributions remain attributed regardless — no change needed here, already true by design (no FK cascade deletes contributions).</w:t>
      </w:r>
    </w:p>
    <w:p w14:paraId="3CEF46D6" w14:textId="77777777" w:rsidR="00FD1039" w:rsidRDefault="00000000">
      <w:r>
        <w:rPr>
          <w:b/>
        </w:rPr>
        <w:t xml:space="preserve">Example: </w:t>
      </w:r>
    </w:p>
    <w:p w14:paraId="427D51A4" w14:textId="77777777" w:rsidR="00FD1039" w:rsidRDefault="00000000">
      <w:pPr>
        <w:ind w:left="432"/>
      </w:pPr>
      <w:r>
        <w:rPr>
          <w:i/>
        </w:rPr>
        <w:t>A clinical assistant is terminated for suspected mishandling of a patient's EEG file. The policy requires two separate admins to sign off on this termination specifically because a single admin authorizing their own retaliatory termination is a real risk in a small clinic. Today, one admin's deleted_by value is all that's recorded — there's no way to prove a second, independent authorization happened.</w:t>
      </w:r>
    </w:p>
    <w:p w14:paraId="5CB1C882" w14:textId="77777777" w:rsidR="00FD1039" w:rsidRDefault="00000000">
      <w:r>
        <w:rPr>
          <w:b/>
        </w:rPr>
        <w:t xml:space="preserve">Proposed solution: </w:t>
      </w:r>
    </w:p>
    <w:p w14:paraId="2B660B74" w14:textId="77777777" w:rsidR="00FD1039" w:rsidRDefault="00000000">
      <w:pPr>
        <w:pStyle w:val="ListBullet"/>
      </w:pPr>
      <w:r>
        <w:t>New table staff_termination_authorizations: termination_id (uuid), staff_profile_id, termination_type (voluntary / no_cause / for_cause), reason (text, required for no_cause and for_cause), primary_authorizer_id, secondary_authorizer_id (nullable — required only when termination_type='for_cause'), authorized_at, effective_at.</w:t>
      </w:r>
    </w:p>
    <w:p w14:paraId="04D22E05" w14:textId="77777777" w:rsidR="00FD1039" w:rsidRDefault="00000000">
      <w:pPr>
        <w:pStyle w:val="ListBullet"/>
      </w:pPr>
      <w:r>
        <w:t>App-layer: for_cause termination endpoint refuses to execute (i.e. refuses to set deleted_at / call Cognito AdminDisableUser) until both authorizer fields are populated by two distinct admin-tier accounts.</w:t>
      </w:r>
    </w:p>
    <w:p w14:paraId="0E3C373B" w14:textId="77777777" w:rsidR="00FD1039" w:rsidRDefault="00FD1039"/>
    <w:p w14:paraId="371F9BDD" w14:textId="77777777" w:rsidR="00FD1039" w:rsidRDefault="00000000">
      <w:pPr>
        <w:pStyle w:val="Heading2"/>
      </w:pPr>
      <w:r>
        <w:t>4.8. Breach / incident-response table</w:t>
      </w:r>
    </w:p>
    <w:p w14:paraId="52AB476C" w14:textId="77777777" w:rsidR="00FD1039" w:rsidRDefault="00000000">
      <w:r>
        <w:rPr>
          <w:b/>
          <w:color w:val="C55A00"/>
        </w:rPr>
        <w:t>Priority: P1</w:t>
      </w:r>
      <w:r>
        <w:rPr>
          <w:i/>
          <w:sz w:val="20"/>
        </w:rPr>
        <w:t xml:space="preserve">      Policy reference: Section 10 (Breach Notification)</w:t>
      </w:r>
    </w:p>
    <w:p w14:paraId="0FDFE7C8" w14:textId="77777777" w:rsidR="00FD1039" w:rsidRDefault="00000000">
      <w:r>
        <w:rPr>
          <w:b/>
        </w:rPr>
        <w:t xml:space="preserve">The problem: </w:t>
      </w:r>
      <w:r>
        <w:t>The policy requires a documented incident-response runbook to exist before Phase 1 goes live, covering detection, containment, assessment, notification, remediation, and post-incident review. There is no schema representation of an incident record, its timeline, or its notification obligations (DPDP Board notification, 72-hour GDPR notification when applicable).</w:t>
      </w:r>
    </w:p>
    <w:p w14:paraId="1BCBAC90" w14:textId="77777777" w:rsidR="00FD1039" w:rsidRDefault="00000000">
      <w:r>
        <w:rPr>
          <w:b/>
        </w:rPr>
        <w:lastRenderedPageBreak/>
        <w:t xml:space="preserve">What the policy requires: </w:t>
      </w:r>
    </w:p>
    <w:p w14:paraId="6FA7E009" w14:textId="77777777" w:rsidR="00FD1039" w:rsidRDefault="00000000">
      <w:pPr>
        <w:pStyle w:val="ListBullet"/>
      </w:pPr>
      <w:r>
        <w:t>Notify the Data Protection Board of India “without undue delay” (DPDP).</w:t>
      </w:r>
    </w:p>
    <w:p w14:paraId="164A9D4D" w14:textId="77777777" w:rsidR="00FD1039" w:rsidRDefault="00000000">
      <w:pPr>
        <w:pStyle w:val="ListBullet"/>
      </w:pPr>
      <w:r>
        <w:t>Notify affected Data Principals as soon as practicable after the Board notification.</w:t>
      </w:r>
    </w:p>
    <w:p w14:paraId="47815955" w14:textId="77777777" w:rsidR="00FD1039" w:rsidRDefault="00000000">
      <w:pPr>
        <w:pStyle w:val="ListBullet"/>
      </w:pPr>
      <w:r>
        <w:t>Notify EU supervisory authority within 72 hours of becoming aware (GDPR Art. 33), when applicable.</w:t>
      </w:r>
    </w:p>
    <w:p w14:paraId="484CDADC" w14:textId="77777777" w:rsidR="00FD1039" w:rsidRDefault="00000000">
      <w:pPr>
        <w:pStyle w:val="ListBullet"/>
      </w:pPr>
      <w:r>
        <w:t>Notify affected EU data subjects without undue delay if high risk, when applicable (GDPR Art. 34).</w:t>
      </w:r>
    </w:p>
    <w:p w14:paraId="4775009D" w14:textId="77777777" w:rsidR="00FD1039" w:rsidRDefault="00000000">
      <w:r>
        <w:rPr>
          <w:b/>
        </w:rPr>
        <w:t xml:space="preserve">Example: </w:t>
      </w:r>
    </w:p>
    <w:p w14:paraId="6EA566F1" w14:textId="77777777" w:rsidR="00FD1039" w:rsidRDefault="00000000">
      <w:pPr>
        <w:ind w:left="432"/>
      </w:pPr>
      <w:r>
        <w:rPr>
          <w:i/>
        </w:rPr>
        <w:t>An S3 bucket misconfiguration briefly exposes EEG report links. Without an incident table, there is no system-of-record for when the breach was detected, when the Board was notified, when patients were notified, or whether the 72-hour GDPR clock (once EU operations exist) was met — exactly the kind of thing a regulator asks for evidence of after the fact.</w:t>
      </w:r>
    </w:p>
    <w:p w14:paraId="5A6B1892" w14:textId="77777777" w:rsidR="00FD1039" w:rsidRDefault="00000000">
      <w:r>
        <w:rPr>
          <w:b/>
        </w:rPr>
        <w:t xml:space="preserve">Proposed solution: </w:t>
      </w:r>
    </w:p>
    <w:p w14:paraId="599A7DF7" w14:textId="77777777" w:rsidR="00FD1039" w:rsidRDefault="00000000">
      <w:pPr>
        <w:pStyle w:val="ListBullet"/>
      </w:pPr>
      <w:r>
        <w:t>New table compliance_incidents: incident_id, detected_at, detected_by, category (text), affected_data_categories (jsonb array), affected_patient_count (int, nullable), severity, containment_actions (text), board_notified_at (nullable), patients_notified_at (nullable), eu_authority_notified_at (nullable, only relevant post-EU-expansion), remediation_summary (text), post_incident_review_at (nullable), status (open / contained / notified / closed).</w:t>
      </w:r>
    </w:p>
    <w:p w14:paraId="16DF6046" w14:textId="77777777" w:rsidR="00FD1039" w:rsidRDefault="00000000">
      <w:pPr>
        <w:pStyle w:val="ListBullet"/>
      </w:pPr>
      <w:r>
        <w:t>This is process infrastructure more than a high-write table — low volume, high scrutiny when it is used.</w:t>
      </w:r>
    </w:p>
    <w:p w14:paraId="127D145B" w14:textId="77777777" w:rsidR="00FD1039" w:rsidRDefault="00FD1039"/>
    <w:p w14:paraId="6382A001" w14:textId="77777777" w:rsidR="00FD1039" w:rsidRDefault="00000000">
      <w:pPr>
        <w:pStyle w:val="Heading2"/>
      </w:pPr>
      <w:r>
        <w:t>4.9. Grievance Officer / DPO representation</w:t>
      </w:r>
    </w:p>
    <w:p w14:paraId="25412201" w14:textId="77777777" w:rsidR="00FD1039" w:rsidRDefault="00000000">
      <w:r>
        <w:rPr>
          <w:b/>
          <w:color w:val="C55A00"/>
        </w:rPr>
        <w:t>Priority: P1</w:t>
      </w:r>
      <w:r>
        <w:rPr>
          <w:i/>
          <w:sz w:val="20"/>
        </w:rPr>
        <w:t xml:space="preserve">      Policy reference: Section 11 (Roles &amp; Responsibilities)</w:t>
      </w:r>
    </w:p>
    <w:p w14:paraId="4EC23975" w14:textId="77777777" w:rsidR="00FD1039" w:rsidRDefault="00000000">
      <w:r>
        <w:rPr>
          <w:b/>
        </w:rPr>
        <w:t xml:space="preserve">The problem: </w:t>
      </w:r>
      <w:r>
        <w:t>The policy states a named Grievance Officer, with published contact details, “must be appointed before launch.” There is no schema representation of this role — admins.admin_type has no such value, and grepping the entire app/alembic tree for “grievance” returns zero hits.</w:t>
      </w:r>
    </w:p>
    <w:p w14:paraId="0C232715" w14:textId="77777777" w:rsidR="00FD1039" w:rsidRDefault="00000000">
      <w:r>
        <w:rPr>
          <w:b/>
        </w:rPr>
        <w:t xml:space="preserve">What the policy requires: </w:t>
      </w:r>
    </w:p>
    <w:p w14:paraId="3B9F017C" w14:textId="77777777" w:rsidR="00FD1039" w:rsidRDefault="00000000">
      <w:pPr>
        <w:pStyle w:val="ListBullet"/>
      </w:pPr>
      <w:r>
        <w:t>Grievance Officer (DPDP-mandated): receives and responds to Data Principal rights requests (access, correction, erasure, portability). Named individual, contact details published. Must be appointed before launch.</w:t>
      </w:r>
    </w:p>
    <w:p w14:paraId="5E08B601" w14:textId="77777777" w:rsidR="00FD1039" w:rsidRDefault="00000000">
      <w:pPr>
        <w:pStyle w:val="ListBullet"/>
      </w:pPr>
      <w:r>
        <w:t>DPO (GDPR-mandated for EU): required only when EU operations begin — not needed yet, listed for completeness.</w:t>
      </w:r>
    </w:p>
    <w:p w14:paraId="0F3B3AE7" w14:textId="77777777" w:rsidR="00FD1039" w:rsidRDefault="00000000">
      <w:r>
        <w:rPr>
          <w:b/>
        </w:rPr>
        <w:lastRenderedPageBreak/>
        <w:t xml:space="preserve">Example: </w:t>
      </w:r>
    </w:p>
    <w:p w14:paraId="6E4F7107" w14:textId="77777777" w:rsidR="00FD1039" w:rsidRDefault="00000000">
      <w:pPr>
        <w:ind w:left="432"/>
      </w:pPr>
      <w:r>
        <w:rPr>
          <w:i/>
        </w:rPr>
        <w:t>A patient wants to file a formal grievance about how their erasure request was handled. The policy requires a named, published contact for exactly this. Without a schema field for it, there's no single source of truth for who currently holds that role if it changes hands, and no link between an erasure_request/data_portability_request and who was accountable for the response.</w:t>
      </w:r>
    </w:p>
    <w:p w14:paraId="78B013D3" w14:textId="77777777" w:rsidR="00FD1039" w:rsidRDefault="00000000">
      <w:r>
        <w:rPr>
          <w:b/>
        </w:rPr>
        <w:t xml:space="preserve">Proposed solution: </w:t>
      </w:r>
    </w:p>
    <w:p w14:paraId="15F57047" w14:textId="77777777" w:rsidR="00FD1039" w:rsidRDefault="00000000">
      <w:pPr>
        <w:pStyle w:val="ListBullet"/>
      </w:pPr>
      <w:r>
        <w:t>Simplest correct fix: add 'grievance_officer' as a valid admins.admin_type value (super-admin-tier row, one active at a time), rather than a new table — this is a role assignment, not a new entity type.</w:t>
      </w:r>
    </w:p>
    <w:p w14:paraId="03E1198E" w14:textId="77777777" w:rsidR="00FD1039" w:rsidRDefault="00000000">
      <w:pPr>
        <w:pStyle w:val="ListBullet"/>
      </w:pPr>
      <w:r>
        <w:t>Link erasure_requests.responded_by and data_portability_requests fulfillment to this admin so each request has a named accountable officer on record, matching the 'named individual' requirement.</w:t>
      </w:r>
    </w:p>
    <w:p w14:paraId="6D9E142E" w14:textId="77777777" w:rsidR="00FD1039" w:rsidRDefault="00FD1039"/>
    <w:p w14:paraId="6479205F" w14:textId="77777777" w:rsidR="00FD1039" w:rsidRDefault="00000000">
      <w:r>
        <w:br w:type="page"/>
      </w:r>
    </w:p>
    <w:p w14:paraId="15DBB980" w14:textId="77777777" w:rsidR="00FD1039" w:rsidRDefault="00000000">
      <w:pPr>
        <w:pStyle w:val="Heading1"/>
      </w:pPr>
      <w:r>
        <w:lastRenderedPageBreak/>
        <w:t>P2 — Required, Trigger Not Yet Live</w:t>
      </w:r>
    </w:p>
    <w:p w14:paraId="296826F0" w14:textId="77777777" w:rsidR="00FD1039" w:rsidRDefault="00000000">
      <w:pPr>
        <w:pStyle w:val="Heading2"/>
      </w:pPr>
      <w:r>
        <w:t>4.10. De-identified analytics schema</w:t>
      </w:r>
    </w:p>
    <w:p w14:paraId="1BAA8AF3" w14:textId="77777777" w:rsidR="00FD1039" w:rsidRDefault="00000000">
      <w:r>
        <w:rPr>
          <w:b/>
          <w:color w:val="1F5C99"/>
        </w:rPr>
        <w:t>Priority: P2</w:t>
      </w:r>
      <w:r>
        <w:rPr>
          <w:i/>
          <w:sz w:val="20"/>
        </w:rPr>
        <w:t xml:space="preserve">      Policy reference: Section 8 (Business Analytics &amp; De-identified Data)</w:t>
      </w:r>
    </w:p>
    <w:p w14:paraId="78A143DF" w14:textId="77777777" w:rsidR="00FD1039" w:rsidRDefault="00000000">
      <w:r>
        <w:rPr>
          <w:b/>
        </w:rPr>
        <w:t xml:space="preserve">The problem: </w:t>
      </w:r>
      <w:r>
        <w:t>The policy permits retaining de-identified, aggregated data indefinitely for analytics, but requires it to live in a separate schema/table set produced by a batch ETL job, following HIPAA Safe Harbor (all 18 identifiers removed) with small-cell suppression (&lt;5 individuals). No such schema exists.</w:t>
      </w:r>
    </w:p>
    <w:p w14:paraId="5DB5B9AC" w14:textId="77777777" w:rsidR="00FD1039" w:rsidRDefault="00000000">
      <w:r>
        <w:rPr>
          <w:b/>
        </w:rPr>
        <w:t xml:space="preserve">What the policy requires: </w:t>
      </w:r>
    </w:p>
    <w:p w14:paraId="1FA0D879" w14:textId="77777777" w:rsidR="00FD1039" w:rsidRDefault="00000000">
      <w:pPr>
        <w:pStyle w:val="ListBullet"/>
      </w:pPr>
      <w:r>
        <w:t>De-identification standard: HIPAA Safe Harbor — remove all 18 identifiers.</w:t>
      </w:r>
    </w:p>
    <w:p w14:paraId="789D5D64" w14:textId="77777777" w:rsidR="00FD1039" w:rsidRDefault="00000000">
      <w:pPr>
        <w:pStyle w:val="ListBullet"/>
      </w:pPr>
      <w:r>
        <w:t>Small-cell suppression: suppress any group with fewer than 5 individuals.</w:t>
      </w:r>
    </w:p>
    <w:p w14:paraId="4814B173" w14:textId="77777777" w:rsidR="00FD1039" w:rsidRDefault="00000000">
      <w:pPr>
        <w:pStyle w:val="ListBullet"/>
      </w:pPr>
      <w:r>
        <w:t>Process: batch ETL, not real-time, into a separate analytics schema/table set; original identifiable data still follows the normal retention schedule and is deleted per Section 7 independently.</w:t>
      </w:r>
    </w:p>
    <w:p w14:paraId="5CE866D0" w14:textId="77777777" w:rsidR="00FD1039" w:rsidRDefault="00000000">
      <w:r>
        <w:rPr>
          <w:b/>
        </w:rPr>
        <w:t xml:space="preserve">Example: </w:t>
      </w:r>
    </w:p>
    <w:p w14:paraId="5ABD11D4" w14:textId="77777777" w:rsidR="00FD1039" w:rsidRDefault="00000000">
      <w:pPr>
        <w:ind w:left="432"/>
      </w:pPr>
      <w:r>
        <w:rPr>
          <w:i/>
        </w:rPr>
        <w:t>A future dashboard wants “PRS score distribution by disease by year.” Without a separate de-identified schema, that query would run against live identifiable patient data — meaning the moment a source patient row is deleted or anonymised (item 4.2), the analytics history it fed into either breaks or was never actually de-identified to begin with.</w:t>
      </w:r>
    </w:p>
    <w:p w14:paraId="2261CACF" w14:textId="77777777" w:rsidR="00FD1039" w:rsidRDefault="00000000">
      <w:r>
        <w:rPr>
          <w:b/>
        </w:rPr>
        <w:t xml:space="preserve">Proposed solution: </w:t>
      </w:r>
    </w:p>
    <w:p w14:paraId="1CAE240B" w14:textId="77777777" w:rsidR="00FD1039" w:rsidRDefault="00000000">
      <w:pPr>
        <w:pStyle w:val="ListBullet"/>
      </w:pPr>
      <w:r>
        <w:t>New schema (e.g. analytics) with tables mirroring the aggregation needs described in the policy (PRS score distributions by disease/year, session completion rates by device type, avg cycle duration by condition) — no patient_id, no dates finer than year, no geography finer than state.</w:t>
      </w:r>
    </w:p>
    <w:p w14:paraId="5FA9805A" w14:textId="77777777" w:rsidR="00FD1039" w:rsidRDefault="00000000">
      <w:pPr>
        <w:pStyle w:val="ListBullet"/>
      </w:pPr>
      <w:r>
        <w:t>Batch ETL job (not urgent until there's an actual analytics consumer) applies small-cell suppression before writing.</w:t>
      </w:r>
    </w:p>
    <w:p w14:paraId="04ADEC0B" w14:textId="77777777" w:rsidR="00FD1039" w:rsidRDefault="00000000">
      <w:pPr>
        <w:pStyle w:val="ListBullet"/>
      </w:pPr>
      <w:r>
        <w:t>Build this once there's a concrete analytics/reporting consumer — building it speculatively ahead of any dashboard risks guessing the wrong aggregation shape.</w:t>
      </w:r>
    </w:p>
    <w:p w14:paraId="1F451254" w14:textId="77777777" w:rsidR="00FD1039" w:rsidRDefault="00FD1039"/>
    <w:p w14:paraId="37DCDA10" w14:textId="77777777" w:rsidR="00FD1039" w:rsidRDefault="00000000">
      <w:pPr>
        <w:pStyle w:val="Heading2"/>
      </w:pPr>
      <w:r>
        <w:t>4.11. Manual/on-demand snapshot tracking</w:t>
      </w:r>
    </w:p>
    <w:p w14:paraId="2EA65E79" w14:textId="77777777" w:rsidR="00FD1039" w:rsidRDefault="00000000">
      <w:r>
        <w:rPr>
          <w:b/>
          <w:color w:val="1F5C99"/>
        </w:rPr>
        <w:t>Priority: P2</w:t>
      </w:r>
      <w:r>
        <w:rPr>
          <w:i/>
          <w:sz w:val="20"/>
        </w:rPr>
        <w:t xml:space="preserve">      Policy reference: Section 7.3 (Backup Purge)</w:t>
      </w:r>
    </w:p>
    <w:p w14:paraId="3F830673" w14:textId="77777777" w:rsidR="00FD1039" w:rsidRDefault="00000000">
      <w:r>
        <w:rPr>
          <w:b/>
        </w:rPr>
        <w:t xml:space="preserve">The problem: </w:t>
      </w:r>
      <w:r>
        <w:t>RDS automated backups already age out safely at the AWS-default 35 days. The policy's actual concern is manual/on-demand snapshots, which do not auto-expire and must be explicitly deleted and tagged with an intended deletion date at creation. Nothing tracks these today.</w:t>
      </w:r>
    </w:p>
    <w:p w14:paraId="209B2FFD" w14:textId="77777777" w:rsidR="00FD1039" w:rsidRDefault="00000000">
      <w:r>
        <w:rPr>
          <w:b/>
        </w:rPr>
        <w:lastRenderedPageBreak/>
        <w:t xml:space="preserve">What the policy requires: </w:t>
      </w:r>
    </w:p>
    <w:p w14:paraId="7C8CB7F3" w14:textId="77777777" w:rsidR="00FD1039" w:rsidRDefault="00000000">
      <w:pPr>
        <w:pStyle w:val="ListBullet"/>
      </w:pPr>
      <w:r>
        <w:t>Manual/on-demand snapshots must be explicitly deleted as part of the purge process.</w:t>
      </w:r>
    </w:p>
    <w:p w14:paraId="3D79EA93" w14:textId="77777777" w:rsidR="00FD1039" w:rsidRDefault="00000000">
      <w:pPr>
        <w:pStyle w:val="ListBullet"/>
      </w:pPr>
      <w:r>
        <w:t>Never leave an on-demand snapshot indefinitely; tag with the intended deletion date at creation.</w:t>
      </w:r>
    </w:p>
    <w:p w14:paraId="0928E8A4" w14:textId="77777777" w:rsidR="00FD1039" w:rsidRDefault="00000000">
      <w:r>
        <w:rPr>
          <w:b/>
        </w:rPr>
        <w:t xml:space="preserve">Example: </w:t>
      </w:r>
    </w:p>
    <w:p w14:paraId="017189E3" w14:textId="77777777" w:rsidR="00FD1039" w:rsidRDefault="00000000">
      <w:pPr>
        <w:ind w:left="432"/>
      </w:pPr>
      <w:r>
        <w:rPr>
          <w:i/>
        </w:rPr>
        <w:t>Before a risky migration, an engineer takes a manual RDS snapshot as a safety net, then forgets about it. That snapshot now holds a full copy of every patient's identifiable data indefinitely, completely outside the 35-day automated-backup window the rest of the retention story relies on — a silent compliance hole that isn't visible anywhere in the schema today.</w:t>
      </w:r>
    </w:p>
    <w:p w14:paraId="7BC386AE" w14:textId="77777777" w:rsidR="00FD1039" w:rsidRDefault="00000000">
      <w:r>
        <w:rPr>
          <w:b/>
        </w:rPr>
        <w:t xml:space="preserve">Proposed solution: </w:t>
      </w:r>
    </w:p>
    <w:p w14:paraId="1712AA6A" w14:textId="77777777" w:rsidR="00FD1039" w:rsidRDefault="00000000">
      <w:pPr>
        <w:pStyle w:val="ListBullet"/>
      </w:pPr>
      <w:r>
        <w:t>New table manual_snapshots (or an AWS-tag-based process if preferred over a DB table): snapshot_id, purpose, created_by, created_at, intended_deletion_at, deleted_at (nullable).</w:t>
      </w:r>
    </w:p>
    <w:p w14:paraId="4220646C" w14:textId="77777777" w:rsidR="00FD1039" w:rsidRDefault="00000000">
      <w:pPr>
        <w:pStyle w:val="ListBullet"/>
      </w:pPr>
      <w:r>
        <w:t>Low schema cost; the real fix is procedural (require this at snapshot-creation time), so this can wait until manual snapshots are actually part of the ops workflow.</w:t>
      </w:r>
    </w:p>
    <w:p w14:paraId="6FB95ABF" w14:textId="77777777" w:rsidR="00FD1039" w:rsidRDefault="00FD1039"/>
    <w:p w14:paraId="34DB5796" w14:textId="77777777" w:rsidR="00FD1039" w:rsidRDefault="00000000">
      <w:r>
        <w:br w:type="page"/>
      </w:r>
    </w:p>
    <w:p w14:paraId="5DBBD541" w14:textId="77777777" w:rsidR="00FD1039" w:rsidRDefault="00000000">
      <w:pPr>
        <w:pStyle w:val="Heading1"/>
      </w:pPr>
      <w:r>
        <w:lastRenderedPageBreak/>
        <w:t>P3 — Documentation / Naming Reconciliation</w:t>
      </w:r>
    </w:p>
    <w:p w14:paraId="09F10E8F" w14:textId="77777777" w:rsidR="00FD1039" w:rsidRDefault="00000000">
      <w:pPr>
        <w:pStyle w:val="Heading2"/>
      </w:pPr>
      <w:r>
        <w:t>4.12. patients.is_active vs. deleted_at/deleted_by</w:t>
      </w:r>
    </w:p>
    <w:p w14:paraId="7FC845A8" w14:textId="77777777" w:rsidR="00FD1039" w:rsidRDefault="00000000">
      <w:r>
        <w:rPr>
          <w:b/>
          <w:color w:val="555555"/>
        </w:rPr>
        <w:t>Priority: P3</w:t>
      </w:r>
      <w:r>
        <w:rPr>
          <w:i/>
          <w:sz w:val="20"/>
        </w:rPr>
        <w:t xml:space="preserve">      Policy reference: Section 12 (Schema &amp; Architecture Mapping)</w:t>
      </w:r>
    </w:p>
    <w:p w14:paraId="412549B3" w14:textId="77777777" w:rsidR="00FD1039" w:rsidRDefault="00000000">
      <w:r>
        <w:rPr>
          <w:b/>
        </w:rPr>
        <w:t xml:space="preserve">The problem: </w:t>
      </w:r>
      <w:r>
        <w:t>The policy's own Section 12 mapping table lists “Patient account deactivation | patients.is_active, profiles.deleted_at/deleted_by | Soft-delete (flag)” — but patients has no is_active column, only deleted_at/deleted_by. Functionally equivalent, but the policy document and the schema disagree on the field name.</w:t>
      </w:r>
    </w:p>
    <w:p w14:paraId="4E8921AE" w14:textId="77777777" w:rsidR="00FD1039" w:rsidRDefault="00000000">
      <w:r>
        <w:rPr>
          <w:b/>
        </w:rPr>
        <w:t xml:space="preserve">What the policy requires: </w:t>
      </w:r>
    </w:p>
    <w:p w14:paraId="7DDDFF40" w14:textId="77777777" w:rsidR="00FD1039" w:rsidRDefault="00000000">
      <w:pPr>
        <w:pStyle w:val="ListBullet"/>
      </w:pPr>
      <w:r>
        <w:t>No functional requirement is violated — deleted_at achieves the same soft-delete semantics is_active would.</w:t>
      </w:r>
    </w:p>
    <w:p w14:paraId="489641CC" w14:textId="77777777" w:rsidR="00FD1039" w:rsidRDefault="00000000">
      <w:r>
        <w:rPr>
          <w:b/>
        </w:rPr>
        <w:t xml:space="preserve">Example: </w:t>
      </w:r>
    </w:p>
    <w:p w14:paraId="4766F937" w14:textId="77777777" w:rsidR="00FD1039" w:rsidRDefault="00000000">
      <w:pPr>
        <w:ind w:left="432"/>
      </w:pPr>
      <w:r>
        <w:rPr>
          <w:i/>
        </w:rPr>
        <w:t>A future engineer reading Section 12 alongside the schema will look for patients.is_active, not find it, and either add a redundant duplicate column or waste time confirming it's a documentation artifact rather than a missed migration.</w:t>
      </w:r>
    </w:p>
    <w:p w14:paraId="54737F1B" w14:textId="77777777" w:rsidR="00FD1039" w:rsidRDefault="00000000">
      <w:r>
        <w:rPr>
          <w:b/>
        </w:rPr>
        <w:t xml:space="preserve">Proposed solution: </w:t>
      </w:r>
    </w:p>
    <w:p w14:paraId="6DE01DA0" w14:textId="77777777" w:rsidR="00FD1039" w:rsidRDefault="00000000">
      <w:pPr>
        <w:pStyle w:val="ListBullet"/>
      </w:pPr>
      <w:r>
        <w:t>Recommended: update the policy's Section 12 table to reference patients.deleted_at/deleted_by instead of introducing a redundant is_active column that would need to stay in sync with it.</w:t>
      </w:r>
    </w:p>
    <w:p w14:paraId="49DD75C4" w14:textId="77777777" w:rsidR="00FD1039" w:rsidRDefault="00000000">
      <w:pPr>
        <w:pStyle w:val="ListBullet"/>
      </w:pPr>
      <w:r>
        <w:t>Alternative if the team prefers an explicit boolean for query readability: add is_active as a generated column (is_active = (deleted_at IS NULL)) rather than a second source of truth.</w:t>
      </w:r>
    </w:p>
    <w:p w14:paraId="4FFBB6BF" w14:textId="77777777" w:rsidR="00FD1039" w:rsidRDefault="00FD1039"/>
    <w:p w14:paraId="069E8F5D" w14:textId="77777777" w:rsidR="00FD1039" w:rsidRDefault="00000000">
      <w:r>
        <w:br w:type="page"/>
      </w:r>
    </w:p>
    <w:p w14:paraId="0BEE8B53" w14:textId="77777777" w:rsidR="00FD1039" w:rsidRDefault="00000000">
      <w:pPr>
        <w:pStyle w:val="Heading1"/>
      </w:pPr>
      <w:r>
        <w:lastRenderedPageBreak/>
        <w:t>5. Summary Table</w:t>
      </w:r>
    </w:p>
    <w:tbl>
      <w:tblPr>
        <w:tblStyle w:val="LightGrid-Accent1"/>
        <w:tblW w:w="0" w:type="auto"/>
        <w:tblLook w:val="04A0" w:firstRow="1" w:lastRow="0" w:firstColumn="1" w:lastColumn="0" w:noHBand="0" w:noVBand="1"/>
      </w:tblPr>
      <w:tblGrid>
        <w:gridCol w:w="2099"/>
        <w:gridCol w:w="2536"/>
        <w:gridCol w:w="2111"/>
        <w:gridCol w:w="2110"/>
      </w:tblGrid>
      <w:tr w:rsidR="00FD1039" w14:paraId="79CE1CB0" w14:textId="77777777" w:rsidTr="00FD10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63ACE4" w14:textId="77777777" w:rsidR="00FD1039" w:rsidRDefault="00000000">
            <w:r>
              <w:t>#</w:t>
            </w:r>
          </w:p>
        </w:tc>
        <w:tc>
          <w:tcPr>
            <w:tcW w:w="2160" w:type="dxa"/>
          </w:tcPr>
          <w:p w14:paraId="5FEC9A71" w14:textId="77777777" w:rsidR="00FD1039" w:rsidRDefault="00000000">
            <w:pPr>
              <w:cnfStyle w:val="100000000000" w:firstRow="1" w:lastRow="0" w:firstColumn="0" w:lastColumn="0" w:oddVBand="0" w:evenVBand="0" w:oddHBand="0" w:evenHBand="0" w:firstRowFirstColumn="0" w:firstRowLastColumn="0" w:lastRowFirstColumn="0" w:lastRowLastColumn="0"/>
            </w:pPr>
            <w:r>
              <w:t>Change</w:t>
            </w:r>
          </w:p>
        </w:tc>
        <w:tc>
          <w:tcPr>
            <w:tcW w:w="2160" w:type="dxa"/>
          </w:tcPr>
          <w:p w14:paraId="12EDC54F" w14:textId="77777777" w:rsidR="00FD1039" w:rsidRDefault="00000000">
            <w:pPr>
              <w:cnfStyle w:val="100000000000" w:firstRow="1" w:lastRow="0" w:firstColumn="0" w:lastColumn="0" w:oddVBand="0" w:evenVBand="0" w:oddHBand="0" w:evenHBand="0" w:firstRowFirstColumn="0" w:firstRowLastColumn="0" w:lastRowFirstColumn="0" w:lastRowLastColumn="0"/>
            </w:pPr>
            <w:r>
              <w:t>Priority</w:t>
            </w:r>
          </w:p>
        </w:tc>
        <w:tc>
          <w:tcPr>
            <w:tcW w:w="2160" w:type="dxa"/>
          </w:tcPr>
          <w:p w14:paraId="46B71C86" w14:textId="77777777" w:rsidR="00FD1039" w:rsidRDefault="00000000">
            <w:pPr>
              <w:cnfStyle w:val="100000000000" w:firstRow="1" w:lastRow="0" w:firstColumn="0" w:lastColumn="0" w:oddVBand="0" w:evenVBand="0" w:oddHBand="0" w:evenHBand="0" w:firstRowFirstColumn="0" w:firstRowLastColumn="0" w:lastRowFirstColumn="0" w:lastRowLastColumn="0"/>
            </w:pPr>
            <w:r>
              <w:t>Policy Section</w:t>
            </w:r>
          </w:p>
        </w:tc>
      </w:tr>
      <w:tr w:rsidR="00FD1039" w14:paraId="6D329384" w14:textId="77777777" w:rsidTr="00FD10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2F8E3C" w14:textId="77777777" w:rsidR="00FD1039" w:rsidRDefault="00000000">
            <w:r>
              <w:t>4.1</w:t>
            </w:r>
          </w:p>
        </w:tc>
        <w:tc>
          <w:tcPr>
            <w:tcW w:w="2160" w:type="dxa"/>
          </w:tcPr>
          <w:p w14:paraId="02708F35" w14:textId="77777777" w:rsidR="00FD1039" w:rsidRDefault="00000000">
            <w:pPr>
              <w:cnfStyle w:val="000000100000" w:firstRow="0" w:lastRow="0" w:firstColumn="0" w:lastColumn="0" w:oddVBand="0" w:evenVBand="0" w:oddHBand="1" w:evenHBand="0" w:firstRowFirstColumn="0" w:firstRowLastColumn="0" w:lastRowFirstColumn="0" w:lastRowLastColumn="0"/>
            </w:pPr>
            <w:r>
              <w:t>erasure_requests + erasure_request_items tables</w:t>
            </w:r>
          </w:p>
        </w:tc>
        <w:tc>
          <w:tcPr>
            <w:tcW w:w="2160" w:type="dxa"/>
          </w:tcPr>
          <w:p w14:paraId="33329E06" w14:textId="77777777" w:rsidR="00FD1039" w:rsidRDefault="00000000">
            <w:pPr>
              <w:cnfStyle w:val="000000100000" w:firstRow="0" w:lastRow="0" w:firstColumn="0" w:lastColumn="0" w:oddVBand="0" w:evenVBand="0" w:oddHBand="1" w:evenHBand="0" w:firstRowFirstColumn="0" w:firstRowLastColumn="0" w:lastRowFirstColumn="0" w:lastRowLastColumn="0"/>
            </w:pPr>
            <w:r>
              <w:rPr>
                <w:b/>
                <w:color w:val="C00000"/>
              </w:rPr>
              <w:t>P0</w:t>
            </w:r>
          </w:p>
        </w:tc>
        <w:tc>
          <w:tcPr>
            <w:tcW w:w="2160" w:type="dxa"/>
          </w:tcPr>
          <w:p w14:paraId="37E527BF" w14:textId="77777777" w:rsidR="00FD1039" w:rsidRDefault="00000000">
            <w:pPr>
              <w:cnfStyle w:val="000000100000" w:firstRow="0" w:lastRow="0" w:firstColumn="0" w:lastColumn="0" w:oddVBand="0" w:evenVBand="0" w:oddHBand="1" w:evenHBand="0" w:firstRowFirstColumn="0" w:firstRowLastColumn="0" w:lastRowFirstColumn="0" w:lastRowLastColumn="0"/>
            </w:pPr>
            <w:r>
              <w:t>3.5</w:t>
            </w:r>
          </w:p>
        </w:tc>
      </w:tr>
      <w:tr w:rsidR="00FD1039" w14:paraId="717C9EC4" w14:textId="77777777" w:rsidTr="00FD10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521395" w14:textId="77777777" w:rsidR="00FD1039" w:rsidRDefault="00000000">
            <w:r>
              <w:t>4.2</w:t>
            </w:r>
          </w:p>
        </w:tc>
        <w:tc>
          <w:tcPr>
            <w:tcW w:w="2160" w:type="dxa"/>
          </w:tcPr>
          <w:p w14:paraId="0FC612E0" w14:textId="77777777" w:rsidR="00FD1039" w:rsidRDefault="00000000">
            <w:pPr>
              <w:cnfStyle w:val="000000010000" w:firstRow="0" w:lastRow="0" w:firstColumn="0" w:lastColumn="0" w:oddVBand="0" w:evenVBand="0" w:oddHBand="0" w:evenHBand="1" w:firstRowFirstColumn="0" w:firstRowLastColumn="0" w:lastRowFirstColumn="0" w:lastRowLastColumn="0"/>
            </w:pPr>
            <w:r>
              <w:t>Retention/anonymisation columns (profiles, patients)</w:t>
            </w:r>
          </w:p>
        </w:tc>
        <w:tc>
          <w:tcPr>
            <w:tcW w:w="2160" w:type="dxa"/>
          </w:tcPr>
          <w:p w14:paraId="3CCEC363" w14:textId="77777777" w:rsidR="00FD1039" w:rsidRDefault="00000000">
            <w:pPr>
              <w:cnfStyle w:val="000000010000" w:firstRow="0" w:lastRow="0" w:firstColumn="0" w:lastColumn="0" w:oddVBand="0" w:evenVBand="0" w:oddHBand="0" w:evenHBand="1" w:firstRowFirstColumn="0" w:firstRowLastColumn="0" w:lastRowFirstColumn="0" w:lastRowLastColumn="0"/>
            </w:pPr>
            <w:r>
              <w:rPr>
                <w:b/>
                <w:color w:val="C00000"/>
              </w:rPr>
              <w:t>P0</w:t>
            </w:r>
          </w:p>
        </w:tc>
        <w:tc>
          <w:tcPr>
            <w:tcW w:w="2160" w:type="dxa"/>
          </w:tcPr>
          <w:p w14:paraId="632A86A7" w14:textId="77777777" w:rsidR="00FD1039" w:rsidRDefault="00000000">
            <w:pPr>
              <w:cnfStyle w:val="000000010000" w:firstRow="0" w:lastRow="0" w:firstColumn="0" w:lastColumn="0" w:oddVBand="0" w:evenVBand="0" w:oddHBand="0" w:evenHBand="1" w:firstRowFirstColumn="0" w:firstRowLastColumn="0" w:lastRowFirstColumn="0" w:lastRowLastColumn="0"/>
            </w:pPr>
            <w:r>
              <w:t>6, 7</w:t>
            </w:r>
          </w:p>
        </w:tc>
      </w:tr>
      <w:tr w:rsidR="00FD1039" w14:paraId="26AA6242" w14:textId="77777777" w:rsidTr="00FD10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E3A6D5" w14:textId="77777777" w:rsidR="00FD1039" w:rsidRDefault="00000000">
            <w:r>
              <w:t>4.3</w:t>
            </w:r>
          </w:p>
        </w:tc>
        <w:tc>
          <w:tcPr>
            <w:tcW w:w="2160" w:type="dxa"/>
          </w:tcPr>
          <w:p w14:paraId="3C842D4B" w14:textId="77777777" w:rsidR="00FD1039" w:rsidRDefault="00000000">
            <w:pPr>
              <w:cnfStyle w:val="000000100000" w:firstRow="0" w:lastRow="0" w:firstColumn="0" w:lastColumn="0" w:oddVBand="0" w:evenVBand="0" w:oddHBand="1" w:evenHBand="0" w:firstRowFirstColumn="0" w:firstRowLastColumn="0" w:lastRowFirstColumn="0" w:lastRowLastColumn="0"/>
            </w:pPr>
            <w:r>
              <w:t>data_portability_requests table</w:t>
            </w:r>
          </w:p>
        </w:tc>
        <w:tc>
          <w:tcPr>
            <w:tcW w:w="2160" w:type="dxa"/>
          </w:tcPr>
          <w:p w14:paraId="35CA7003" w14:textId="77777777" w:rsidR="00FD1039" w:rsidRDefault="00000000">
            <w:pPr>
              <w:cnfStyle w:val="000000100000" w:firstRow="0" w:lastRow="0" w:firstColumn="0" w:lastColumn="0" w:oddVBand="0" w:evenVBand="0" w:oddHBand="1" w:evenHBand="0" w:firstRowFirstColumn="0" w:firstRowLastColumn="0" w:lastRowFirstColumn="0" w:lastRowLastColumn="0"/>
            </w:pPr>
            <w:r>
              <w:rPr>
                <w:b/>
                <w:color w:val="C00000"/>
              </w:rPr>
              <w:t>P0</w:t>
            </w:r>
          </w:p>
        </w:tc>
        <w:tc>
          <w:tcPr>
            <w:tcW w:w="2160" w:type="dxa"/>
          </w:tcPr>
          <w:p w14:paraId="3237EDCB" w14:textId="77777777" w:rsidR="00FD1039" w:rsidRDefault="00000000">
            <w:pPr>
              <w:cnfStyle w:val="000000100000" w:firstRow="0" w:lastRow="0" w:firstColumn="0" w:lastColumn="0" w:oddVBand="0" w:evenVBand="0" w:oddHBand="1" w:evenHBand="0" w:firstRowFirstColumn="0" w:firstRowLastColumn="0" w:lastRowFirstColumn="0" w:lastRowLastColumn="0"/>
            </w:pPr>
            <w:r>
              <w:t>3.6</w:t>
            </w:r>
          </w:p>
        </w:tc>
      </w:tr>
      <w:tr w:rsidR="00FD1039" w14:paraId="5E9F5011" w14:textId="77777777" w:rsidTr="00FD10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884BD3" w14:textId="77777777" w:rsidR="00FD1039" w:rsidRDefault="00000000">
            <w:r>
              <w:t>4.4</w:t>
            </w:r>
          </w:p>
        </w:tc>
        <w:tc>
          <w:tcPr>
            <w:tcW w:w="2160" w:type="dxa"/>
          </w:tcPr>
          <w:p w14:paraId="14D1D34B" w14:textId="77777777" w:rsidR="00FD1039" w:rsidRDefault="00000000">
            <w:pPr>
              <w:cnfStyle w:val="000000010000" w:firstRow="0" w:lastRow="0" w:firstColumn="0" w:lastColumn="0" w:oddVBand="0" w:evenVBand="0" w:oddHBand="0" w:evenHBand="1" w:firstRowFirstColumn="0" w:firstRowLastColumn="0" w:lastRowFirstColumn="0" w:lastRowLastColumn="0"/>
            </w:pPr>
            <w:r>
              <w:t>Patient closure-state columns (patients)</w:t>
            </w:r>
          </w:p>
        </w:tc>
        <w:tc>
          <w:tcPr>
            <w:tcW w:w="2160" w:type="dxa"/>
          </w:tcPr>
          <w:p w14:paraId="50A39E9D" w14:textId="77777777" w:rsidR="00FD1039" w:rsidRDefault="00000000">
            <w:pPr>
              <w:cnfStyle w:val="000000010000" w:firstRow="0" w:lastRow="0" w:firstColumn="0" w:lastColumn="0" w:oddVBand="0" w:evenVBand="0" w:oddHBand="0" w:evenHBand="1" w:firstRowFirstColumn="0" w:firstRowLastColumn="0" w:lastRowFirstColumn="0" w:lastRowLastColumn="0"/>
            </w:pPr>
            <w:r>
              <w:rPr>
                <w:b/>
                <w:color w:val="C00000"/>
              </w:rPr>
              <w:t>P0</w:t>
            </w:r>
          </w:p>
        </w:tc>
        <w:tc>
          <w:tcPr>
            <w:tcW w:w="2160" w:type="dxa"/>
          </w:tcPr>
          <w:p w14:paraId="3008D9FB" w14:textId="77777777" w:rsidR="00FD1039" w:rsidRDefault="00000000">
            <w:pPr>
              <w:cnfStyle w:val="000000010000" w:firstRow="0" w:lastRow="0" w:firstColumn="0" w:lastColumn="0" w:oddVBand="0" w:evenVBand="0" w:oddHBand="0" w:evenHBand="1" w:firstRowFirstColumn="0" w:firstRowLastColumn="0" w:lastRowFirstColumn="0" w:lastRowLastColumn="0"/>
            </w:pPr>
            <w:r>
              <w:t>3.1, 3.2</w:t>
            </w:r>
          </w:p>
        </w:tc>
      </w:tr>
      <w:tr w:rsidR="00FD1039" w14:paraId="6A4FDB81" w14:textId="77777777" w:rsidTr="00FD10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CF8CDF" w14:textId="77777777" w:rsidR="00FD1039" w:rsidRDefault="00000000">
            <w:r>
              <w:t>4.5</w:t>
            </w:r>
          </w:p>
        </w:tc>
        <w:tc>
          <w:tcPr>
            <w:tcW w:w="2160" w:type="dxa"/>
          </w:tcPr>
          <w:p w14:paraId="555C01AE" w14:textId="77777777" w:rsidR="00FD1039" w:rsidRDefault="00000000">
            <w:pPr>
              <w:cnfStyle w:val="000000100000" w:firstRow="0" w:lastRow="0" w:firstColumn="0" w:lastColumn="0" w:oddVBand="0" w:evenVBand="0" w:oddHBand="1" w:evenHBand="0" w:firstRowFirstColumn="0" w:firstRowLastColumn="0" w:lastRowFirstColumn="0" w:lastRowLastColumn="0"/>
            </w:pPr>
            <w:r>
              <w:t>Scheduled purge/anonymisation worker</w:t>
            </w:r>
          </w:p>
        </w:tc>
        <w:tc>
          <w:tcPr>
            <w:tcW w:w="2160" w:type="dxa"/>
          </w:tcPr>
          <w:p w14:paraId="45B952AB" w14:textId="77777777" w:rsidR="00FD1039" w:rsidRDefault="00000000">
            <w:pPr>
              <w:cnfStyle w:val="000000100000" w:firstRow="0" w:lastRow="0" w:firstColumn="0" w:lastColumn="0" w:oddVBand="0" w:evenVBand="0" w:oddHBand="1" w:evenHBand="0" w:firstRowFirstColumn="0" w:firstRowLastColumn="0" w:lastRowFirstColumn="0" w:lastRowLastColumn="0"/>
            </w:pPr>
            <w:r>
              <w:rPr>
                <w:b/>
                <w:color w:val="C00000"/>
              </w:rPr>
              <w:t>P0</w:t>
            </w:r>
          </w:p>
        </w:tc>
        <w:tc>
          <w:tcPr>
            <w:tcW w:w="2160" w:type="dxa"/>
          </w:tcPr>
          <w:p w14:paraId="71A53785" w14:textId="77777777" w:rsidR="00FD1039" w:rsidRDefault="00000000">
            <w:pPr>
              <w:cnfStyle w:val="000000100000" w:firstRow="0" w:lastRow="0" w:firstColumn="0" w:lastColumn="0" w:oddVBand="0" w:evenVBand="0" w:oddHBand="1" w:evenHBand="0" w:firstRowFirstColumn="0" w:firstRowLastColumn="0" w:lastRowFirstColumn="0" w:lastRowLastColumn="0"/>
            </w:pPr>
            <w:r>
              <w:t>7.2, 7.3</w:t>
            </w:r>
          </w:p>
        </w:tc>
      </w:tr>
      <w:tr w:rsidR="00FD1039" w14:paraId="1387F1A2" w14:textId="77777777" w:rsidTr="00FD10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A4DD2D" w14:textId="77777777" w:rsidR="00FD1039" w:rsidRDefault="00000000">
            <w:r>
              <w:t>4.6</w:t>
            </w:r>
          </w:p>
        </w:tc>
        <w:tc>
          <w:tcPr>
            <w:tcW w:w="2160" w:type="dxa"/>
          </w:tcPr>
          <w:p w14:paraId="13C5BDC0" w14:textId="77777777" w:rsidR="00FD1039" w:rsidRDefault="00000000">
            <w:pPr>
              <w:cnfStyle w:val="000000010000" w:firstRow="0" w:lastRow="0" w:firstColumn="0" w:lastColumn="0" w:oddVBand="0" w:evenVBand="0" w:oddHBand="0" w:evenHBand="1" w:firstRowFirstColumn="0" w:firstRowLastColumn="0" w:lastRowFirstColumn="0" w:lastRowLastColumn="0"/>
            </w:pPr>
            <w:r>
              <w:t>Guardian consent linkage (consent_records)</w:t>
            </w:r>
          </w:p>
        </w:tc>
        <w:tc>
          <w:tcPr>
            <w:tcW w:w="2160" w:type="dxa"/>
          </w:tcPr>
          <w:p w14:paraId="240D1D48" w14:textId="77777777" w:rsidR="00FD1039" w:rsidRDefault="00000000">
            <w:pPr>
              <w:cnfStyle w:val="000000010000" w:firstRow="0" w:lastRow="0" w:firstColumn="0" w:lastColumn="0" w:oddVBand="0" w:evenVBand="0" w:oddHBand="0" w:evenHBand="1" w:firstRowFirstColumn="0" w:firstRowLastColumn="0" w:lastRowFirstColumn="0" w:lastRowLastColumn="0"/>
            </w:pPr>
            <w:r>
              <w:rPr>
                <w:b/>
                <w:color w:val="C55A00"/>
              </w:rPr>
              <w:t>P1</w:t>
            </w:r>
          </w:p>
        </w:tc>
        <w:tc>
          <w:tcPr>
            <w:tcW w:w="2160" w:type="dxa"/>
          </w:tcPr>
          <w:p w14:paraId="26292548" w14:textId="77777777" w:rsidR="00FD1039" w:rsidRDefault="00000000">
            <w:pPr>
              <w:cnfStyle w:val="000000010000" w:firstRow="0" w:lastRow="0" w:firstColumn="0" w:lastColumn="0" w:oddVBand="0" w:evenVBand="0" w:oddHBand="0" w:evenHBand="1" w:firstRowFirstColumn="0" w:firstRowLastColumn="0" w:lastRowFirstColumn="0" w:lastRowLastColumn="0"/>
            </w:pPr>
            <w:r>
              <w:t>3.4</w:t>
            </w:r>
          </w:p>
        </w:tc>
      </w:tr>
      <w:tr w:rsidR="00FD1039" w14:paraId="69894D3D" w14:textId="77777777" w:rsidTr="00FD10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4D8959" w14:textId="77777777" w:rsidR="00FD1039" w:rsidRDefault="00000000">
            <w:r>
              <w:t>4.7</w:t>
            </w:r>
          </w:p>
        </w:tc>
        <w:tc>
          <w:tcPr>
            <w:tcW w:w="2160" w:type="dxa"/>
          </w:tcPr>
          <w:p w14:paraId="769B0FB1" w14:textId="77777777" w:rsidR="00FD1039" w:rsidRDefault="00000000">
            <w:pPr>
              <w:cnfStyle w:val="000000100000" w:firstRow="0" w:lastRow="0" w:firstColumn="0" w:lastColumn="0" w:oddVBand="0" w:evenVBand="0" w:oddHBand="1" w:evenHBand="0" w:firstRowFirstColumn="0" w:firstRowLastColumn="0" w:lastRowFirstColumn="0" w:lastRowLastColumn="0"/>
            </w:pPr>
            <w:r>
              <w:t>Staff termination type + dual authorization</w:t>
            </w:r>
          </w:p>
        </w:tc>
        <w:tc>
          <w:tcPr>
            <w:tcW w:w="2160" w:type="dxa"/>
          </w:tcPr>
          <w:p w14:paraId="35B5FCE0" w14:textId="77777777" w:rsidR="00FD1039" w:rsidRDefault="00000000">
            <w:pPr>
              <w:cnfStyle w:val="000000100000" w:firstRow="0" w:lastRow="0" w:firstColumn="0" w:lastColumn="0" w:oddVBand="0" w:evenVBand="0" w:oddHBand="1" w:evenHBand="0" w:firstRowFirstColumn="0" w:firstRowLastColumn="0" w:lastRowFirstColumn="0" w:lastRowLastColumn="0"/>
            </w:pPr>
            <w:r>
              <w:rPr>
                <w:b/>
                <w:color w:val="C55A00"/>
              </w:rPr>
              <w:t>P1</w:t>
            </w:r>
          </w:p>
        </w:tc>
        <w:tc>
          <w:tcPr>
            <w:tcW w:w="2160" w:type="dxa"/>
          </w:tcPr>
          <w:p w14:paraId="21B2F5B8" w14:textId="77777777" w:rsidR="00FD1039" w:rsidRDefault="00000000">
            <w:pPr>
              <w:cnfStyle w:val="000000100000" w:firstRow="0" w:lastRow="0" w:firstColumn="0" w:lastColumn="0" w:oddVBand="0" w:evenVBand="0" w:oddHBand="1" w:evenHBand="0" w:firstRowFirstColumn="0" w:firstRowLastColumn="0" w:lastRowFirstColumn="0" w:lastRowLastColumn="0"/>
            </w:pPr>
            <w:r>
              <w:t>4.3</w:t>
            </w:r>
          </w:p>
        </w:tc>
      </w:tr>
      <w:tr w:rsidR="00FD1039" w14:paraId="051DD988" w14:textId="77777777" w:rsidTr="00FD10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64FC3E" w14:textId="77777777" w:rsidR="00FD1039" w:rsidRDefault="00000000">
            <w:r>
              <w:t>4.8</w:t>
            </w:r>
          </w:p>
        </w:tc>
        <w:tc>
          <w:tcPr>
            <w:tcW w:w="2160" w:type="dxa"/>
          </w:tcPr>
          <w:p w14:paraId="642DC39E" w14:textId="77777777" w:rsidR="00FD1039" w:rsidRDefault="00000000">
            <w:pPr>
              <w:cnfStyle w:val="000000010000" w:firstRow="0" w:lastRow="0" w:firstColumn="0" w:lastColumn="0" w:oddVBand="0" w:evenVBand="0" w:oddHBand="0" w:evenHBand="1" w:firstRowFirstColumn="0" w:firstRowLastColumn="0" w:lastRowFirstColumn="0" w:lastRowLastColumn="0"/>
            </w:pPr>
            <w:r>
              <w:t>compliance_incidents table</w:t>
            </w:r>
          </w:p>
        </w:tc>
        <w:tc>
          <w:tcPr>
            <w:tcW w:w="2160" w:type="dxa"/>
          </w:tcPr>
          <w:p w14:paraId="4AB67038" w14:textId="77777777" w:rsidR="00FD1039" w:rsidRDefault="00000000">
            <w:pPr>
              <w:cnfStyle w:val="000000010000" w:firstRow="0" w:lastRow="0" w:firstColumn="0" w:lastColumn="0" w:oddVBand="0" w:evenVBand="0" w:oddHBand="0" w:evenHBand="1" w:firstRowFirstColumn="0" w:firstRowLastColumn="0" w:lastRowFirstColumn="0" w:lastRowLastColumn="0"/>
            </w:pPr>
            <w:r>
              <w:rPr>
                <w:b/>
                <w:color w:val="C55A00"/>
              </w:rPr>
              <w:t>P1</w:t>
            </w:r>
          </w:p>
        </w:tc>
        <w:tc>
          <w:tcPr>
            <w:tcW w:w="2160" w:type="dxa"/>
          </w:tcPr>
          <w:p w14:paraId="53FBFCCB" w14:textId="77777777" w:rsidR="00FD1039" w:rsidRDefault="00000000">
            <w:pPr>
              <w:cnfStyle w:val="000000010000" w:firstRow="0" w:lastRow="0" w:firstColumn="0" w:lastColumn="0" w:oddVBand="0" w:evenVBand="0" w:oddHBand="0" w:evenHBand="1" w:firstRowFirstColumn="0" w:firstRowLastColumn="0" w:lastRowFirstColumn="0" w:lastRowLastColumn="0"/>
            </w:pPr>
            <w:r>
              <w:t>10</w:t>
            </w:r>
          </w:p>
        </w:tc>
      </w:tr>
      <w:tr w:rsidR="00FD1039" w14:paraId="042CD8F5" w14:textId="77777777" w:rsidTr="00FD10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2EEB74" w14:textId="77777777" w:rsidR="00FD1039" w:rsidRDefault="00000000">
            <w:r>
              <w:t>4.9</w:t>
            </w:r>
          </w:p>
        </w:tc>
        <w:tc>
          <w:tcPr>
            <w:tcW w:w="2160" w:type="dxa"/>
          </w:tcPr>
          <w:p w14:paraId="540BB20F" w14:textId="77777777" w:rsidR="00FD1039" w:rsidRDefault="00000000">
            <w:pPr>
              <w:cnfStyle w:val="000000100000" w:firstRow="0" w:lastRow="0" w:firstColumn="0" w:lastColumn="0" w:oddVBand="0" w:evenVBand="0" w:oddHBand="1" w:evenHBand="0" w:firstRowFirstColumn="0" w:firstRowLastColumn="0" w:lastRowFirstColumn="0" w:lastRowLastColumn="0"/>
            </w:pPr>
            <w:r>
              <w:t>Grievance Officer role representation</w:t>
            </w:r>
          </w:p>
        </w:tc>
        <w:tc>
          <w:tcPr>
            <w:tcW w:w="2160" w:type="dxa"/>
          </w:tcPr>
          <w:p w14:paraId="5FBAB905" w14:textId="77777777" w:rsidR="00FD1039" w:rsidRDefault="00000000">
            <w:pPr>
              <w:cnfStyle w:val="000000100000" w:firstRow="0" w:lastRow="0" w:firstColumn="0" w:lastColumn="0" w:oddVBand="0" w:evenVBand="0" w:oddHBand="1" w:evenHBand="0" w:firstRowFirstColumn="0" w:firstRowLastColumn="0" w:lastRowFirstColumn="0" w:lastRowLastColumn="0"/>
            </w:pPr>
            <w:r>
              <w:rPr>
                <w:b/>
                <w:color w:val="C55A00"/>
              </w:rPr>
              <w:t>P1</w:t>
            </w:r>
          </w:p>
        </w:tc>
        <w:tc>
          <w:tcPr>
            <w:tcW w:w="2160" w:type="dxa"/>
          </w:tcPr>
          <w:p w14:paraId="1958F146" w14:textId="77777777" w:rsidR="00FD1039" w:rsidRDefault="00000000">
            <w:pPr>
              <w:cnfStyle w:val="000000100000" w:firstRow="0" w:lastRow="0" w:firstColumn="0" w:lastColumn="0" w:oddVBand="0" w:evenVBand="0" w:oddHBand="1" w:evenHBand="0" w:firstRowFirstColumn="0" w:firstRowLastColumn="0" w:lastRowFirstColumn="0" w:lastRowLastColumn="0"/>
            </w:pPr>
            <w:r>
              <w:t>11</w:t>
            </w:r>
          </w:p>
        </w:tc>
      </w:tr>
      <w:tr w:rsidR="00FD1039" w14:paraId="2A227E03" w14:textId="77777777" w:rsidTr="00FD10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8BF044" w14:textId="77777777" w:rsidR="00FD1039" w:rsidRDefault="00000000">
            <w:r>
              <w:t>4.10</w:t>
            </w:r>
          </w:p>
        </w:tc>
        <w:tc>
          <w:tcPr>
            <w:tcW w:w="2160" w:type="dxa"/>
          </w:tcPr>
          <w:p w14:paraId="5E8D428F" w14:textId="77777777" w:rsidR="00FD1039" w:rsidRDefault="00000000">
            <w:pPr>
              <w:cnfStyle w:val="000000010000" w:firstRow="0" w:lastRow="0" w:firstColumn="0" w:lastColumn="0" w:oddVBand="0" w:evenVBand="0" w:oddHBand="0" w:evenHBand="1" w:firstRowFirstColumn="0" w:firstRowLastColumn="0" w:lastRowFirstColumn="0" w:lastRowLastColumn="0"/>
            </w:pPr>
            <w:r>
              <w:t>De-identified analytics schema</w:t>
            </w:r>
          </w:p>
        </w:tc>
        <w:tc>
          <w:tcPr>
            <w:tcW w:w="2160" w:type="dxa"/>
          </w:tcPr>
          <w:p w14:paraId="6C3F4A54" w14:textId="77777777" w:rsidR="00FD1039" w:rsidRDefault="00000000">
            <w:pPr>
              <w:cnfStyle w:val="000000010000" w:firstRow="0" w:lastRow="0" w:firstColumn="0" w:lastColumn="0" w:oddVBand="0" w:evenVBand="0" w:oddHBand="0" w:evenHBand="1" w:firstRowFirstColumn="0" w:firstRowLastColumn="0" w:lastRowFirstColumn="0" w:lastRowLastColumn="0"/>
            </w:pPr>
            <w:r>
              <w:rPr>
                <w:b/>
                <w:color w:val="1F5C99"/>
              </w:rPr>
              <w:t>P2</w:t>
            </w:r>
          </w:p>
        </w:tc>
        <w:tc>
          <w:tcPr>
            <w:tcW w:w="2160" w:type="dxa"/>
          </w:tcPr>
          <w:p w14:paraId="53136550" w14:textId="77777777" w:rsidR="00FD1039" w:rsidRDefault="00000000">
            <w:pPr>
              <w:cnfStyle w:val="000000010000" w:firstRow="0" w:lastRow="0" w:firstColumn="0" w:lastColumn="0" w:oddVBand="0" w:evenVBand="0" w:oddHBand="0" w:evenHBand="1" w:firstRowFirstColumn="0" w:firstRowLastColumn="0" w:lastRowFirstColumn="0" w:lastRowLastColumn="0"/>
            </w:pPr>
            <w:r>
              <w:t>8</w:t>
            </w:r>
          </w:p>
        </w:tc>
      </w:tr>
      <w:tr w:rsidR="00FD1039" w14:paraId="6C68EA35" w14:textId="77777777" w:rsidTr="00FD10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490BAA" w14:textId="77777777" w:rsidR="00FD1039" w:rsidRDefault="00000000">
            <w:r>
              <w:t>4.11</w:t>
            </w:r>
          </w:p>
        </w:tc>
        <w:tc>
          <w:tcPr>
            <w:tcW w:w="2160" w:type="dxa"/>
          </w:tcPr>
          <w:p w14:paraId="755132AD" w14:textId="77777777" w:rsidR="00FD1039" w:rsidRDefault="00000000">
            <w:pPr>
              <w:cnfStyle w:val="000000100000" w:firstRow="0" w:lastRow="0" w:firstColumn="0" w:lastColumn="0" w:oddVBand="0" w:evenVBand="0" w:oddHBand="1" w:evenHBand="0" w:firstRowFirstColumn="0" w:firstRowLastColumn="0" w:lastRowFirstColumn="0" w:lastRowLastColumn="0"/>
            </w:pPr>
            <w:r>
              <w:t>Manual snapshot tracking</w:t>
            </w:r>
          </w:p>
        </w:tc>
        <w:tc>
          <w:tcPr>
            <w:tcW w:w="2160" w:type="dxa"/>
          </w:tcPr>
          <w:p w14:paraId="47120059" w14:textId="77777777" w:rsidR="00FD1039" w:rsidRDefault="00000000">
            <w:pPr>
              <w:cnfStyle w:val="000000100000" w:firstRow="0" w:lastRow="0" w:firstColumn="0" w:lastColumn="0" w:oddVBand="0" w:evenVBand="0" w:oddHBand="1" w:evenHBand="0" w:firstRowFirstColumn="0" w:firstRowLastColumn="0" w:lastRowFirstColumn="0" w:lastRowLastColumn="0"/>
            </w:pPr>
            <w:r>
              <w:rPr>
                <w:b/>
                <w:color w:val="1F5C99"/>
              </w:rPr>
              <w:t>P2</w:t>
            </w:r>
          </w:p>
        </w:tc>
        <w:tc>
          <w:tcPr>
            <w:tcW w:w="2160" w:type="dxa"/>
          </w:tcPr>
          <w:p w14:paraId="18A42695" w14:textId="77777777" w:rsidR="00FD1039" w:rsidRDefault="00000000">
            <w:pPr>
              <w:cnfStyle w:val="000000100000" w:firstRow="0" w:lastRow="0" w:firstColumn="0" w:lastColumn="0" w:oddVBand="0" w:evenVBand="0" w:oddHBand="1" w:evenHBand="0" w:firstRowFirstColumn="0" w:firstRowLastColumn="0" w:lastRowFirstColumn="0" w:lastRowLastColumn="0"/>
            </w:pPr>
            <w:r>
              <w:t>7.3</w:t>
            </w:r>
          </w:p>
        </w:tc>
      </w:tr>
      <w:tr w:rsidR="00FD1039" w14:paraId="0AC7B8FA" w14:textId="77777777" w:rsidTr="00FD10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EDE96B" w14:textId="77777777" w:rsidR="00FD1039" w:rsidRDefault="00000000">
            <w:r>
              <w:t>4.12</w:t>
            </w:r>
          </w:p>
        </w:tc>
        <w:tc>
          <w:tcPr>
            <w:tcW w:w="2160" w:type="dxa"/>
          </w:tcPr>
          <w:p w14:paraId="35207295" w14:textId="77777777" w:rsidR="00FD1039" w:rsidRDefault="00000000">
            <w:pPr>
              <w:cnfStyle w:val="000000010000" w:firstRow="0" w:lastRow="0" w:firstColumn="0" w:lastColumn="0" w:oddVBand="0" w:evenVBand="0" w:oddHBand="0" w:evenHBand="1" w:firstRowFirstColumn="0" w:firstRowLastColumn="0" w:lastRowFirstColumn="0" w:lastRowLastColumn="0"/>
            </w:pPr>
            <w:r>
              <w:t>patients.is_active naming reconciliation</w:t>
            </w:r>
          </w:p>
        </w:tc>
        <w:tc>
          <w:tcPr>
            <w:tcW w:w="2160" w:type="dxa"/>
          </w:tcPr>
          <w:p w14:paraId="38D88742" w14:textId="77777777" w:rsidR="00FD1039" w:rsidRDefault="00000000">
            <w:pPr>
              <w:cnfStyle w:val="000000010000" w:firstRow="0" w:lastRow="0" w:firstColumn="0" w:lastColumn="0" w:oddVBand="0" w:evenVBand="0" w:oddHBand="0" w:evenHBand="1" w:firstRowFirstColumn="0" w:firstRowLastColumn="0" w:lastRowFirstColumn="0" w:lastRowLastColumn="0"/>
            </w:pPr>
            <w:r>
              <w:rPr>
                <w:b/>
                <w:color w:val="555555"/>
              </w:rPr>
              <w:t>P3</w:t>
            </w:r>
          </w:p>
        </w:tc>
        <w:tc>
          <w:tcPr>
            <w:tcW w:w="2160" w:type="dxa"/>
          </w:tcPr>
          <w:p w14:paraId="65C9D39A" w14:textId="77777777" w:rsidR="00FD1039" w:rsidRDefault="00000000">
            <w:pPr>
              <w:cnfStyle w:val="000000010000" w:firstRow="0" w:lastRow="0" w:firstColumn="0" w:lastColumn="0" w:oddVBand="0" w:evenVBand="0" w:oddHBand="0" w:evenHBand="1" w:firstRowFirstColumn="0" w:firstRowLastColumn="0" w:lastRowFirstColumn="0" w:lastRowLastColumn="0"/>
            </w:pPr>
            <w:r>
              <w:t>12</w:t>
            </w:r>
          </w:p>
        </w:tc>
      </w:tr>
    </w:tbl>
    <w:p w14:paraId="2B10163B" w14:textId="77777777" w:rsidR="00FD1039" w:rsidRDefault="00FD1039"/>
    <w:p w14:paraId="23318CE2" w14:textId="77777777" w:rsidR="00FD1039" w:rsidRDefault="00000000">
      <w:pPr>
        <w:pStyle w:val="Heading1"/>
      </w:pPr>
      <w:r>
        <w:t>6. Build Order</w:t>
      </w:r>
    </w:p>
    <w:p w14:paraId="3EF67D76" w14:textId="77777777" w:rsidR="00FD1039" w:rsidRDefault="00000000">
      <w:r>
        <w:t>Items 4.1–4.5 (P0) are one interdependent system — the request tables give you what to act on, the retention/closure columns give you when, and the worker is what actually executes it. Build them as a single unit rather than in isolation; a partial build (e.g. erasure_requests without the purge worker) leaves the classification pass with nothing enforcing its outcome.</w:t>
      </w:r>
    </w:p>
    <w:p w14:paraId="1137FD06" w14:textId="77777777" w:rsidR="00FD1039" w:rsidRDefault="00000000">
      <w:r>
        <w:t>Items 4.6–4.9 (P1) can be built independently of each other and of the P0 set, in any order, once P0 is stable — none of them block or are blocked by the P0 items.</w:t>
      </w:r>
    </w:p>
    <w:p w14:paraId="2BF28AE6" w14:textId="77777777" w:rsidR="00FD1039" w:rsidRDefault="00000000">
      <w:r>
        <w:t>Items 4.10–4.11 (P2) should wait for their actual trigger (an analytics consumer; manual-snapshot usage in ops) rather than being built speculatively.</w:t>
      </w:r>
    </w:p>
    <w:p w14:paraId="12C76A7B" w14:textId="77777777" w:rsidR="00FD1039" w:rsidRDefault="00000000">
      <w:r>
        <w:t xml:space="preserve">Per the team's own dev-order rule: doc → schema → code, in that order, and this policy document is still Draft v1.0 pending legal review. None of the schema changes above should be </w:t>
      </w:r>
      <w:r>
        <w:lastRenderedPageBreak/>
        <w:t>migrated into the live database until legal sign-off lands — this document is the schema-design step, not authorization to migrate.</w:t>
      </w:r>
    </w:p>
    <w:p w14:paraId="074CAAC2" w14:textId="77777777" w:rsidR="00FD1039" w:rsidRDefault="00000000">
      <w:r>
        <w:rPr>
          <w:b/>
          <w:color w:val="C00000"/>
        </w:rPr>
        <w:t>Every item in this document traces to an explicit clause in the policy. Nothing has been softened, skipped, or replaced with a partial measure to save engineering time.</w:t>
      </w:r>
    </w:p>
    <w:sectPr w:rsidR="00FD10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2847313">
    <w:abstractNumId w:val="8"/>
  </w:num>
  <w:num w:numId="2" w16cid:durableId="1868716028">
    <w:abstractNumId w:val="6"/>
  </w:num>
  <w:num w:numId="3" w16cid:durableId="1312978389">
    <w:abstractNumId w:val="5"/>
  </w:num>
  <w:num w:numId="4" w16cid:durableId="2009406761">
    <w:abstractNumId w:val="4"/>
  </w:num>
  <w:num w:numId="5" w16cid:durableId="119038734">
    <w:abstractNumId w:val="7"/>
  </w:num>
  <w:num w:numId="6" w16cid:durableId="125785482">
    <w:abstractNumId w:val="3"/>
  </w:num>
  <w:num w:numId="7" w16cid:durableId="1553037993">
    <w:abstractNumId w:val="2"/>
  </w:num>
  <w:num w:numId="8" w16cid:durableId="1853911391">
    <w:abstractNumId w:val="1"/>
  </w:num>
  <w:num w:numId="9" w16cid:durableId="166523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6142"/>
    <w:rsid w:val="00AA1D8D"/>
    <w:rsid w:val="00B214E4"/>
    <w:rsid w:val="00B47730"/>
    <w:rsid w:val="00CB0664"/>
    <w:rsid w:val="00FC693F"/>
    <w:rsid w:val="00FD1039"/>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DCDBA5"/>
  <w14:defaultImageDpi w14:val="300"/>
  <w15:docId w15:val="{CCBCB054-5CF6-4818-A7A3-6B52EA8E3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4302</Words>
  <Characters>24525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 Naidu</cp:lastModifiedBy>
  <cp:revision>2</cp:revision>
  <dcterms:created xsi:type="dcterms:W3CDTF">2013-12-23T23:15:00Z</dcterms:created>
  <dcterms:modified xsi:type="dcterms:W3CDTF">2026-07-20T08:18:00Z</dcterms:modified>
  <cp:category/>
</cp:coreProperties>
</file>