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440"/>
              <w:left w:type="dxa" w:w="480"/>
              <w:bottom w:type="dxa" w:w="36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0"/>
                <w:sz w:val="68"/>
                <w:szCs w:val="68"/>
              </w:rPr>
              <w:t xml:space="preserve">VIPUL  PATIL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─── </w:t>
            </w:r>
            <w:r>
              <w:rPr>
                <w:rFonts w:ascii="Calibri" w:cs="Calibri" w:eastAsia="Calibri" w:hAnsi="Calibri"/>
                <w:b w:val="false"/>
                <w:bCs w:val="false"/>
                <w:color w:val="0EA5E9"/>
                <w:spacing w:val="60"/>
                <w:sz w:val="26"/>
                <w:szCs w:val="26"/>
              </w:rPr>
              <w:t xml:space="preserve">Senior Data Engineer</w:t>
            </w:r>
            <w:r>
              <w:rPr>
                <w:rFonts w:ascii="Calibri" w:cs="Calibri" w:eastAsia="Calibri" w:hAnsi="Calibri"/>
                <w:color w:val="0EA5E9"/>
                <w:sz w:val="20"/>
                <w:szCs w:val="20"/>
              </w:rPr>
              <w:t xml:space="preserve"> ───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AE6FD"/>
                <w:sz w:val="17"/>
                <w:szCs w:val="17"/>
              </w:rPr>
              <w:t xml:space="preserve">+91-96012-91584</w:t>
            </w:r>
            <w:r>
              <w:rPr>
                <w:rFonts w:ascii="Calibri" w:cs="Calibri" w:eastAsia="Calibri" w:hAnsi="Calibri"/>
                <w:color w:val="0EA5E9"/>
                <w:sz w:val="17"/>
                <w:szCs w:val="17"/>
              </w:rPr>
              <w:t xml:space="preserve">   |   </w:t>
            </w:r>
            <w:r>
              <w:rPr>
                <w:rFonts w:ascii="Calibri" w:cs="Calibri" w:eastAsia="Calibri" w:hAnsi="Calibri"/>
                <w:color w:val="BAE6FD"/>
                <w:sz w:val="17"/>
                <w:szCs w:val="17"/>
              </w:rPr>
              <w:t xml:space="preserve">contactvipulgpatil@gmail.com</w:t>
            </w:r>
            <w:r>
              <w:rPr>
                <w:rFonts w:ascii="Calibri" w:cs="Calibri" w:eastAsia="Calibri" w:hAnsi="Calibri"/>
                <w:color w:val="0EA5E9"/>
                <w:sz w:val="17"/>
                <w:szCs w:val="17"/>
              </w:rPr>
              <w:t xml:space="preserve">   |   </w:t>
            </w:r>
            <w:r>
              <w:rPr>
                <w:rFonts w:ascii="Calibri" w:cs="Calibri" w:eastAsia="Calibri" w:hAnsi="Calibri"/>
                <w:color w:val="BAE6FD"/>
                <w:sz w:val="17"/>
                <w:szCs w:val="17"/>
              </w:rPr>
              <w:t xml:space="preserve">linkedin.com/in/vipul-patil-a95349159</w:t>
            </w:r>
            <w:r>
              <w:rPr>
                <w:rFonts w:ascii="Calibri" w:cs="Calibri" w:eastAsia="Calibri" w:hAnsi="Calibri"/>
                <w:color w:val="0EA5E9"/>
                <w:sz w:val="17"/>
                <w:szCs w:val="17"/>
              </w:rPr>
              <w:t xml:space="preserve">   |   </w:t>
            </w:r>
            <w:r>
              <w:rPr>
                <w:rFonts w:ascii="Calibri" w:cs="Calibri" w:eastAsia="Calibri" w:hAnsi="Calibri"/>
                <w:color w:val="BAE6FD"/>
                <w:sz w:val="17"/>
                <w:szCs w:val="17"/>
              </w:rPr>
              <w:t xml:space="preserve">Ahmedabad, India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0369A1" w:sz="10" w:space="5"/>
        </w:pBdr>
        <w:spacing w:after="60" w:before="260"/>
      </w:pPr>
      <w:r>
        <w:rPr>
          <w:rFonts w:ascii="Calibri" w:cs="Calibri" w:eastAsia="Calibri" w:hAnsi="Calibri"/>
          <w:b/>
          <w:bCs/>
          <w:color w:val="0B1F3A"/>
          <w:spacing w:val="60"/>
          <w:sz w:val="22"/>
          <w:szCs w:val="22"/>
        </w:rPr>
        <w:t xml:space="preserve">PROFESSIONAL SUMMARY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Senior Data Engineer with 6+ years of progressive experience architecting enterprise-grade cloud data platforms across healthcare, finance, and retail domains. Expert in building production-ready, high-availability pipelines using Snowflake, Databricks, Apache Airflow, and dbt — with deep specialization in Medallion/Lakehouse architecture, dimensional modeling, and large-scale ELT optimization at 50M+ daily record volumes. Certified SnowPro Core &amp; Architect. Proven track record delivering measurable engineering impact: 40% pipeline efficiency gains, 70% reduction in ETL failures, and 35% cloud cost savings. Known for translating complex business requirements into scalable, fault-tolerant data systems and leading high-performing engineering teams.</w:t>
      </w:r>
    </w:p>
    <w:p>
      <w:pPr>
        <w:spacing w:after="0" w:before="180"/>
      </w:pPr>
      <w:r>
        <w:t xml:space="preserve"/>
      </w:r>
    </w:p>
    <w:p>
      <w:pPr>
        <w:pBdr>
          <w:bottom w:val="single" w:color="0369A1" w:sz="10" w:space="5"/>
        </w:pBdr>
        <w:spacing w:after="60" w:before="260"/>
      </w:pPr>
      <w:r>
        <w:rPr>
          <w:rFonts w:ascii="Calibri" w:cs="Calibri" w:eastAsia="Calibri" w:hAnsi="Calibri"/>
          <w:b/>
          <w:bCs/>
          <w:color w:val="0B1F3A"/>
          <w:spacing w:val="60"/>
          <w:sz w:val="22"/>
          <w:szCs w:val="22"/>
        </w:rPr>
        <w:t xml:space="preserve">CORE TECHNICAL SKILLS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Cloud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AWS (S3, Lambda, Glue, IAM, API Gateway)  ·  Azure (ADF, ADLS Gen2, Databricks, Key Vault, Blob Storage)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Snowflake (Architecture, Clustering, Virtual Warehouses, Snowpipe, Performance Tuning)  ·  Azure SQL  ·  SQL Server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Lakehouse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Apache Spark  ·  PySpark  ·  Databricks (Delta Lake, Unity Catalog, Auto Loader, DLT, Workflows)  ·  Medallion Architecture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dbt (Incremental Models, Snapshots, Tests, Macros)  ·  Spark SQL  ·  T-SQL  ·  SSIS  ·  Star/Snowflake Schema  ·  SCD Type 1 &amp; 2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Apache Airflow (DAGs, SLAs, Alerting)  ·  Databricks Workflows  ·  Azure Data Factory  ·  Metadata-driven Pipelines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Programming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Python  ·  PySpark  ·  SQL  ·  Shell Scripting  ·  Power Automate  ·  Workflow Automation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BI &amp; Reporting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Power BI  ·  Tableau  ·  SSRS  ·  SSAS  ·  Crystal Reports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Practices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ETL/ELT Design  ·  Data Quality Frameworks  ·  CI/CD for Data  ·  Agile/Scrum  ·  Data Governance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0369A1" w:sz="10" w:space="5"/>
        </w:pBdr>
        <w:spacing w:after="60" w:before="260"/>
      </w:pPr>
      <w:r>
        <w:rPr>
          <w:rFonts w:ascii="Calibri" w:cs="Calibri" w:eastAsia="Calibri" w:hAnsi="Calibri"/>
          <w:b/>
          <w:bCs/>
          <w:color w:val="0B1F3A"/>
          <w:spacing w:val="60"/>
          <w:sz w:val="22"/>
          <w:szCs w:val="22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Senior Data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0369A1"/>
                <w:sz w:val="20"/>
                <w:szCs w:val="20"/>
              </w:rPr>
              <w:t xml:space="preserve">   ·   KenexAI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Jan 2025 – Present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Architected a cloud-native Lakehouse platform on Azure Databricks &amp; Snowflake, enabling AI/ML-ready data consumption across 5+ business domains and processing 50M+ records daily.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Engineered Medallion Architecture (Bronze → Silver → Gold) with PySpark and Delta Lake MERGE operations, achieving sub-2-hour SLA adherence and full audit lineage.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a modular dbt ELT framework with 150+ automated tests across staging, intermediate, and mart layers — reducing pipeline data errors by 45% and accelerating feature delivery by 3×.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Optimized Snowflake virtual warehouse configurations and clustering key strategies, cutting cloud compute spend by 35% while improving query performance by 60%.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Designed Apache Airflow DAG orchestration with dynamic task generation, SLA alerting, and auto-retry logic across 20+ production pipelines — achieving 99.8% uptime.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Integrated ADLS Gen2, AWS S3, and Snowpipe for automated multi-format ingestion (CSV, JSON, Parquet), reducing ingestion latency from hours to under 15 minutes.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Delivered Gold-layer feature tables supporting 3 active production ML models, collaborating directly with data scientists on schema design and refresh SLAs.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Mentored 3 junior engineers, drove dbt/Airflow best practice standards, and led bi-weekly architecture reviews across the data engineering org.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Senior Data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0369A1"/>
                <w:sz w:val="20"/>
                <w:szCs w:val="20"/>
              </w:rPr>
              <w:t xml:space="preserve">   ·   Altera Digital Health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Feb 2024 – Jan 2025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Spearheaded data platform modernization for 10+ healthcare clients — migrating SSIS legacy workflows to Snowflake + ADF architecture, handling 20M+ daily records with 99.9% reliability.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Architected dbt transformation layer with star-schema dimensional models (SCD Type 2) for clinical, operational, and financial analytics, cutting report build time by 55%.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Engineered parameterized ADF pipelines ingesting data from 8+ heterogeneous EHR source systems with built-in error quarantine, schema validation, and HIPAA compliance.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Reduced ETL pipeline failure rate by 70% by implementing proactive error handling, Airflow SLA alerting, and automated pipeline health monitoring dashboards.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Improved overall pipeline throughput by 40% through Python automation, SSIS optimization, and intelligent SQL Job scheduling strategies.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Led a team of 4 engineers — conducting code reviews, defining data governance standards, and driving engineering best practices across the healthcare data org.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Awarded Top Quarterly Performer for the 4th consecutive year (2024) for engineering excellence, delivery speed, and measurable client impact.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Data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0369A1"/>
                <w:sz w:val="20"/>
                <w:szCs w:val="20"/>
              </w:rPr>
              <w:t xml:space="preserve">   ·   Altera Digital Health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Aug 2021 – Feb 2024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Engineered end-to-end ETL pipelines using SSIS and Azure Data Factory integrating 6+ healthcare source systems (EHR, labs, claims) into SQL Server and Snowflake.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Designed star-schema fact and dimension tables with SCD Type 2 patient history tracking, supporting 15+ production analytics reports across clinical and financial domains.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Automated data movement between ADF, SQL Server, and Snowflake, reducing manual processing effort by 60% and eliminating recurring ingestion failures.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Implemented Python-based validation, reconciliation, and monitoring pipelines, saving 4 hours/day of analyst overhead and catching 95% of upstream data issues early.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Delivered incremental load strategies and SQL index tuning that improved pipeline execution speed by 50% and reduced query response times across high-volume tables.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Onboarded 3 new enterprise healthcare clients with zero-downtime ETL migrations using phased cutover strategies and custom transformation mapping frameworks.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Associate Data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0369A1"/>
                <w:sz w:val="20"/>
                <w:szCs w:val="20"/>
              </w:rPr>
              <w:t xml:space="preserve">   ·   Altera Digital Health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Oct 2019 – Aug 2021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SSIS ETL pipelines ingesting structured healthcare data from EHR systems and clinical labs, supporting production data warehouse loads with 99% SLA adherence.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Automated recurring data workflows using SQL Jobs and SSIS packages, reducing manual reporting effort by 35% and improving pipeline scheduling consistency.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Engineered SQL stored procedures, optimized views, and index strategies — reducing application query execution time by 40% on high-volume healthcare datasets.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Delivered high-priority ETL solutions for top-tier providers across multiple Agile sprints with zero missed deadlines throughout the full 2-year tenure.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1"/>
                <w:szCs w:val="21"/>
              </w:rPr>
              <w:t xml:space="preserve">Junior Data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0369A1"/>
                <w:sz w:val="20"/>
                <w:szCs w:val="20"/>
              </w:rPr>
              <w:t xml:space="preserve">   ·   Exxat Systems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Jun 2018 – Oct 2019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Developed SQL pipelines and data extracts for healthcare SaaS modules (STEPS, CCS), supporting clinical placement and performance analytics for enterprise clients.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Automated data import validation using SQL scripts, reducing ingestion errors by 25% and improving downstream data consistency across 10+ source feeds.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Performed data profiling on source datasets, identified anomalies, and collaborated with senior engineers to implement upstream validation rules in ETL flows.</w:t>
      </w:r>
    </w:p>
    <w:p>
      <w:pPr>
        <w:spacing w:after="0" w:before="180"/>
      </w:pPr>
      <w:r>
        <w:t xml:space="preserve"/>
      </w:r>
    </w:p>
    <w:p>
      <w:pPr>
        <w:pBdr>
          <w:bottom w:val="single" w:color="0369A1" w:sz="10" w:space="5"/>
        </w:pBdr>
        <w:spacing w:after="60" w:before="260"/>
      </w:pPr>
      <w:r>
        <w:rPr>
          <w:rFonts w:ascii="Calibri" w:cs="Calibri" w:eastAsia="Calibri" w:hAnsi="Calibri"/>
          <w:b/>
          <w:bCs/>
          <w:color w:val="0B1F3A"/>
          <w:spacing w:val="60"/>
          <w:sz w:val="22"/>
          <w:szCs w:val="22"/>
        </w:rPr>
        <w:t xml:space="preserve">KEY ACHIEVEMENTS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Cut cloud compute costs by 35% through Snowflake warehouse right-sizing, clustering key tuning, and query optimization across 12 production schemas.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Reduced ETL pipeline failure rate by 70% by engineering SLA alerting, auto-retry workflows, and error quarantine logic across ADF and SSIS systems.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Improved pipeline throughput by 40% through Airflow DAG restructuring, Python automation, and intelligent SQL Job scheduling strategies.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Achieved 99.8% pipeline uptime across 20+ Airflow DAGs through robust retry mechanisms, dead-letter queuing, and real-time health dashboards.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Accelerated dbt model delivery by 3× by introducing modular ELT patterns with 150+ automated tests, reusable macros, and incremental materialization.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Migrated legacy ADF orchestration to Databricks Workflows, cutting average job execution time by 50% and enabling full pipeline observability.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Awarded Top Quarterly Performer in 2021, 2022, 2023, and 2024 — 4 consecutive years — for engineering delivery, innovation, and cross-functional leadership.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300"/>
        <w:gridCol w:w="280"/>
        <w:gridCol w:w="378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0369A1" w:sz="10" w:space="5"/>
              </w:pBd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pacing w:val="60"/>
                <w:sz w:val="22"/>
                <w:szCs w:val="22"/>
              </w:rPr>
              <w:t xml:space="preserve">CERTIFICATIONS</w:t>
            </w:r>
          </w:p>
          <w:p>
            <w:pPr>
              <w:spacing w:after="0" w:before="70"/>
            </w:pPr>
            <w:r>
              <w:t xml:space="preserve"/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3619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93B"/>
                      <w:sz w:val="19"/>
                      <w:szCs w:val="19"/>
                    </w:rPr>
                    <w:t xml:space="preserve">SnowPro Core Certification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75569"/>
                      <w:sz w:val="17"/>
                      <w:szCs w:val="17"/>
                    </w:rPr>
                    <w:t xml:space="preserve">Snowflake  ·  Mar 2025 – Mar 2027</w:t>
                  </w:r>
                </w:p>
              </w:tc>
            </w:tr>
          </w:tbl>
          <w:p>
            <w:pPr>
              <w:spacing w:after="0" w:before="50"/>
            </w:pPr>
            <w:r>
              <w:t xml:space="preserve"/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3619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93B"/>
                      <w:sz w:val="19"/>
                      <w:szCs w:val="19"/>
                    </w:rPr>
                    <w:t xml:space="preserve">SnowPro Advanced: Architect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75569"/>
                      <w:sz w:val="17"/>
                      <w:szCs w:val="17"/>
                    </w:rPr>
                    <w:t xml:space="preserve">Snowflake  ·  Mar 2025 – Mar 2027</w:t>
                  </w:r>
                </w:p>
              </w:tc>
            </w:tr>
          </w:tbl>
          <w:p>
            <w:pPr>
              <w:spacing w:after="0" w:before="50"/>
            </w:pPr>
            <w:r>
              <w:t xml:space="preserve"/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3619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93B"/>
                      <w:sz w:val="19"/>
                      <w:szCs w:val="19"/>
                    </w:rPr>
                    <w:t xml:space="preserve">Microsoft Azure Fundamentals (AZ-900)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75569"/>
                      <w:sz w:val="17"/>
                      <w:szCs w:val="17"/>
                    </w:rPr>
                    <w:t xml:space="preserve">Microsoft Certified  ·  2023</w:t>
                  </w:r>
                </w:p>
              </w:tc>
            </w:tr>
          </w:tbl>
          <w:p>
            <w:pPr>
              <w:spacing w:after="0" w:before="50"/>
            </w:pPr>
            <w:r>
              <w:t xml:space="preserve"/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3619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93B"/>
                      <w:sz w:val="19"/>
                      <w:szCs w:val="19"/>
                    </w:rPr>
                    <w:t xml:space="preserve">PL-300: Power BI Data Analyst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75569"/>
                      <w:sz w:val="17"/>
                      <w:szCs w:val="17"/>
                    </w:rPr>
                    <w:t xml:space="preserve">Microsoft Certified  ·  2022</w:t>
                  </w:r>
                </w:p>
              </w:tc>
            </w:tr>
          </w:tbl>
          <w:p>
            <w:pPr>
              <w:spacing w:after="0" w:before="50"/>
            </w:pPr>
            <w:r>
              <w:t xml:space="preserve"/>
            </w:r>
          </w:p>
          <w:tbl>
            <w:tblPr>
              <w:tblW w:type="dxa" w:w="9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3619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93B"/>
                      <w:sz w:val="19"/>
                      <w:szCs w:val="19"/>
                    </w:rPr>
                    <w:t xml:space="preserve">Microsoft Certified Solutions Associate (MCSA)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475569"/>
                      <w:sz w:val="17"/>
                      <w:szCs w:val="17"/>
                    </w:rPr>
                    <w:t xml:space="preserve">Microsoft Certified  ·  2020</w:t>
                  </w:r>
                </w:p>
              </w:tc>
            </w:tr>
          </w:tbl>
          <w:p/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780"/>
            <w:tcBorders>
              <w:top w:val="none" w:color="FFFFFF" w:sz="0"/>
              <w:left w:val="single" w:color="CBD5E1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0369A1" w:sz="10" w:space="5"/>
              </w:pBd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pacing w:val="60"/>
                <w:sz w:val="22"/>
                <w:szCs w:val="22"/>
              </w:rPr>
              <w:t xml:space="preserve">EDUCATION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Bachelor of Engineering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Gujarat Technological University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2015 – 2018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Diploma in Electronics &amp; Communication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Gujarat Technological University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2011 – 2014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00"/>
      </w:pPr>
      <w:rPr>
        <w:b/>
        <w:bCs/>
        <w:color w:val="0369A1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134f4a41fc4c7aca7ca0967b08051a5507e959.png"/><Relationship Id="rId8" Type="http://schemas.openxmlformats.org/officeDocument/2006/relationships/image" Target="media/42207bbe20e02f8abd48ec064a10d892f3ec8564.png"/><Relationship Id="rId9" Type="http://schemas.openxmlformats.org/officeDocument/2006/relationships/image" Target="media/f2e4e46f58b2832fcc9941abef6c8f1e942eee89.png"/><Relationship Id="rId10" Type="http://schemas.openxmlformats.org/officeDocument/2006/relationships/image" Target="media/569db72a119d007ee31642d571f6f30180431e5f.png"/><Relationship Id="rId11" Type="http://schemas.openxmlformats.org/officeDocument/2006/relationships/image" Target="media/78946766362b16a1c2b766ba8f0381bdb1ed537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2026-04-16T08:26:50.203Z</dcterms:created>
  <dcterms:modified xsi:type="dcterms:W3CDTF">2026-04-16T08:26:50.204Z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