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Manual — Extrator DIRF + Motor Previdenciário V1.2</w:t>
      </w:r>
    </w:p>
    <w:p>
      <w:pPr>
        <w:jc w:val="center"/>
      </w:pPr>
      <w:r>
        <w:t>Versão 1.2 — base histórica 2017–2026 e guia independente de verificação previdenciária.</w:t>
      </w:r>
    </w:p>
    <w:p>
      <w:pPr>
        <w:pStyle w:val="Heading1"/>
      </w:pPr>
      <w:r>
        <w:t>1. Objetivo</w:t>
      </w:r>
    </w:p>
    <w:p>
      <w:r>
        <w:t>A V1.2 mantém a extração RAW completa da DIRF e acrescenta uma base histórica estruturada das tabelas do RGPS, classificação PROGRESSIVA e uma guia independente para validar a contribuição por competência antes de incorporar a lógica progressiva ao motor principal.</w:t>
      </w:r>
    </w:p>
    <w:p>
      <w:pPr>
        <w:pStyle w:val="Heading1"/>
      </w:pPr>
      <w:r>
        <w:t>2. Fluxo do sistema</w:t>
      </w:r>
    </w:p>
    <w:p>
      <w:r>
        <w:t>DIRF PDF → Extração RAW → Filtros → Agrupamento de vínculos → Classificação 11%/20%/PROGRESSIVA → Verificação histórica → Motor 11%/20% → Demonstração horizontal → Exportação.</w:t>
      </w:r>
    </w:p>
    <w:p>
      <w:pPr>
        <w:pStyle w:val="Heading1"/>
      </w:pPr>
      <w:r>
        <w:t>3. Classificação previdenciária</w:t>
      </w:r>
    </w:p>
    <w:p>
      <w:pPr>
        <w:pStyle w:val="ListBullet"/>
      </w:pPr>
      <w:r>
        <w:t>11% — vínculo tratado pela lógica de 11% da planilha-base.</w:t>
      </w:r>
    </w:p>
    <w:p>
      <w:pPr>
        <w:pStyle w:val="ListBullet"/>
      </w:pPr>
      <w:r>
        <w:t>20% — vínculo tratado pela lógica de 20% da planilha-base.</w:t>
      </w:r>
    </w:p>
    <w:p>
      <w:pPr>
        <w:pStyle w:val="ListBullet"/>
      </w:pPr>
      <w:r>
        <w:t>PROGRESSIVA — vínculo sujeito à conferência da tabela histórica; nesta versão não é calculado silenciosamente pelo motor principal.</w:t>
      </w:r>
    </w:p>
    <w:p>
      <w:pPr>
        <w:pStyle w:val="ListBullet"/>
      </w:pPr>
      <w:r>
        <w:t>NÃO DEFINIDA — impede uma apuração automática sem classificação.</w:t>
      </w:r>
    </w:p>
    <w:p>
      <w:pPr>
        <w:pStyle w:val="Heading1"/>
      </w:pPr>
      <w:r>
        <w:t>4. Histórico 2017–2026</w:t>
      </w:r>
    </w:p>
    <w:p>
      <w:r>
        <w:t>Escopo da base: empregado, empregado doméstico e trabalhador avulso do RGPS. Não misturar automaticamente com contribuinte individual, facultativo ou RPPS.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Vigência</w:t>
            </w:r>
          </w:p>
        </w:tc>
        <w:tc>
          <w:tcPr>
            <w:tcW w:type="dxa" w:w="2160"/>
          </w:tcPr>
          <w:p>
            <w:r>
              <w:t>Método</w:t>
            </w:r>
          </w:p>
        </w:tc>
        <w:tc>
          <w:tcPr>
            <w:tcW w:type="dxa" w:w="2160"/>
          </w:tcPr>
          <w:p>
            <w:r>
              <w:t>Faixas</w:t>
            </w:r>
          </w:p>
        </w:tc>
        <w:tc>
          <w:tcPr>
            <w:tcW w:type="dxa" w:w="2160"/>
          </w:tcPr>
          <w:p>
            <w:r>
              <w:t>Teto</w:t>
            </w:r>
          </w:p>
        </w:tc>
      </w:tr>
      <w:tr>
        <w:tc>
          <w:tcPr>
            <w:tcW w:type="dxa" w:w="2160"/>
          </w:tcPr>
          <w:p>
            <w:r>
              <w:t>2017-01 a 2017-12</w:t>
            </w:r>
          </w:p>
        </w:tc>
        <w:tc>
          <w:tcPr>
            <w:tcW w:type="dxa" w:w="2160"/>
          </w:tcPr>
          <w:p>
            <w:r>
              <w:t>tradicional</w:t>
            </w:r>
          </w:p>
        </w:tc>
        <w:tc>
          <w:tcPr>
            <w:tcW w:type="dxa" w:w="2160"/>
          </w:tcPr>
          <w:p>
            <w:r>
              <w:t>8% até R$ 1.659,38; 9% até R$ 2.765,66; 11% até R$ 5.531,31</w:t>
            </w:r>
          </w:p>
        </w:tc>
        <w:tc>
          <w:tcPr>
            <w:tcW w:type="dxa" w:w="2160"/>
          </w:tcPr>
          <w:p>
            <w:r>
              <w:t>R$ 5.531,31</w:t>
            </w:r>
          </w:p>
        </w:tc>
      </w:tr>
      <w:tr>
        <w:tc>
          <w:tcPr>
            <w:tcW w:type="dxa" w:w="2160"/>
          </w:tcPr>
          <w:p>
            <w:r>
              <w:t>2018-01 a 2018-12</w:t>
            </w:r>
          </w:p>
        </w:tc>
        <w:tc>
          <w:tcPr>
            <w:tcW w:type="dxa" w:w="2160"/>
          </w:tcPr>
          <w:p>
            <w:r>
              <w:t>tradicional</w:t>
            </w:r>
          </w:p>
        </w:tc>
        <w:tc>
          <w:tcPr>
            <w:tcW w:type="dxa" w:w="2160"/>
          </w:tcPr>
          <w:p>
            <w:r>
              <w:t>8% até R$ 1.693,72; 9% até R$ 2.822,90; 11% até R$ 5.645,80</w:t>
            </w:r>
          </w:p>
        </w:tc>
        <w:tc>
          <w:tcPr>
            <w:tcW w:type="dxa" w:w="2160"/>
          </w:tcPr>
          <w:p>
            <w:r>
              <w:t>R$ 5.645,80</w:t>
            </w:r>
          </w:p>
        </w:tc>
      </w:tr>
      <w:tr>
        <w:tc>
          <w:tcPr>
            <w:tcW w:type="dxa" w:w="2160"/>
          </w:tcPr>
          <w:p>
            <w:r>
              <w:t>2019-01 a 2019-12</w:t>
            </w:r>
          </w:p>
        </w:tc>
        <w:tc>
          <w:tcPr>
            <w:tcW w:type="dxa" w:w="2160"/>
          </w:tcPr>
          <w:p>
            <w:r>
              <w:t>tradicional</w:t>
            </w:r>
          </w:p>
        </w:tc>
        <w:tc>
          <w:tcPr>
            <w:tcW w:type="dxa" w:w="2160"/>
          </w:tcPr>
          <w:p>
            <w:r>
              <w:t>8% até R$ 1.751,81; 9% até R$ 2.919,72; 11% até R$ 5.839,45</w:t>
            </w:r>
          </w:p>
        </w:tc>
        <w:tc>
          <w:tcPr>
            <w:tcW w:type="dxa" w:w="2160"/>
          </w:tcPr>
          <w:p>
            <w:r>
              <w:t>R$ 5.839,45</w:t>
            </w:r>
          </w:p>
        </w:tc>
      </w:tr>
      <w:tr>
        <w:tc>
          <w:tcPr>
            <w:tcW w:type="dxa" w:w="2160"/>
          </w:tcPr>
          <w:p>
            <w:r>
              <w:t>2020-01 a 2020-02</w:t>
            </w:r>
          </w:p>
        </w:tc>
        <w:tc>
          <w:tcPr>
            <w:tcW w:type="dxa" w:w="2160"/>
          </w:tcPr>
          <w:p>
            <w:r>
              <w:t>tradicional</w:t>
            </w:r>
          </w:p>
        </w:tc>
        <w:tc>
          <w:tcPr>
            <w:tcW w:type="dxa" w:w="2160"/>
          </w:tcPr>
          <w:p>
            <w:r>
              <w:t>8% até R$ 1.830,29; 9% até R$ 3.050,52; 11% até R$ 6.101,06</w:t>
            </w:r>
          </w:p>
        </w:tc>
        <w:tc>
          <w:tcPr>
            <w:tcW w:type="dxa" w:w="2160"/>
          </w:tcPr>
          <w:p>
            <w:r>
              <w:t>R$ 6.101,06</w:t>
            </w:r>
          </w:p>
        </w:tc>
      </w:tr>
      <w:tr>
        <w:tc>
          <w:tcPr>
            <w:tcW w:type="dxa" w:w="2160"/>
          </w:tcPr>
          <w:p>
            <w:r>
              <w:t>2020-03 a 2020-12</w:t>
            </w:r>
          </w:p>
        </w:tc>
        <w:tc>
          <w:tcPr>
            <w:tcW w:type="dxa" w:w="2160"/>
          </w:tcPr>
          <w:p>
            <w:r>
              <w:t>progressiva</w:t>
            </w:r>
          </w:p>
        </w:tc>
        <w:tc>
          <w:tcPr>
            <w:tcW w:type="dxa" w:w="2160"/>
          </w:tcPr>
          <w:p>
            <w:r>
              <w:t>7,5% até R$ 1.045,00; 9% até R$ 2.089,60; 12% até R$ 3.134,40; 14% até R$ 6.101,06</w:t>
            </w:r>
          </w:p>
        </w:tc>
        <w:tc>
          <w:tcPr>
            <w:tcW w:type="dxa" w:w="2160"/>
          </w:tcPr>
          <w:p>
            <w:r>
              <w:t>R$ 6.101,06</w:t>
            </w:r>
          </w:p>
        </w:tc>
      </w:tr>
      <w:tr>
        <w:tc>
          <w:tcPr>
            <w:tcW w:type="dxa" w:w="2160"/>
          </w:tcPr>
          <w:p>
            <w:r>
              <w:t>2021-01 a 2021-12</w:t>
            </w:r>
          </w:p>
        </w:tc>
        <w:tc>
          <w:tcPr>
            <w:tcW w:type="dxa" w:w="2160"/>
          </w:tcPr>
          <w:p>
            <w:r>
              <w:t>progressiva</w:t>
            </w:r>
          </w:p>
        </w:tc>
        <w:tc>
          <w:tcPr>
            <w:tcW w:type="dxa" w:w="2160"/>
          </w:tcPr>
          <w:p>
            <w:r>
              <w:t>7,5% até R$ 1.100,00; 9% até R$ 2.203,48; 12% até R$ 3.305,22; 14% até R$ 6.433,57</w:t>
            </w:r>
          </w:p>
        </w:tc>
        <w:tc>
          <w:tcPr>
            <w:tcW w:type="dxa" w:w="2160"/>
          </w:tcPr>
          <w:p>
            <w:r>
              <w:t>R$ 6.433,57</w:t>
            </w:r>
          </w:p>
        </w:tc>
      </w:tr>
      <w:tr>
        <w:tc>
          <w:tcPr>
            <w:tcW w:type="dxa" w:w="2160"/>
          </w:tcPr>
          <w:p>
            <w:r>
              <w:t>2022-01 a 2022-12</w:t>
            </w:r>
          </w:p>
        </w:tc>
        <w:tc>
          <w:tcPr>
            <w:tcW w:type="dxa" w:w="2160"/>
          </w:tcPr>
          <w:p>
            <w:r>
              <w:t>progressiva</w:t>
            </w:r>
          </w:p>
        </w:tc>
        <w:tc>
          <w:tcPr>
            <w:tcW w:type="dxa" w:w="2160"/>
          </w:tcPr>
          <w:p>
            <w:r>
              <w:t>7,5% até R$ 1.212,00; 9% até R$ 2.427,35; 12% até R$ 3.641,03; 14% até R$ 7.087,22</w:t>
            </w:r>
          </w:p>
        </w:tc>
        <w:tc>
          <w:tcPr>
            <w:tcW w:type="dxa" w:w="2160"/>
          </w:tcPr>
          <w:p>
            <w:r>
              <w:t>R$ 7.087,22</w:t>
            </w:r>
          </w:p>
        </w:tc>
      </w:tr>
      <w:tr>
        <w:tc>
          <w:tcPr>
            <w:tcW w:type="dxa" w:w="2160"/>
          </w:tcPr>
          <w:p>
            <w:r>
              <w:t>2023-01 a 2023-04</w:t>
            </w:r>
          </w:p>
        </w:tc>
        <w:tc>
          <w:tcPr>
            <w:tcW w:type="dxa" w:w="2160"/>
          </w:tcPr>
          <w:p>
            <w:r>
              <w:t>progressiva</w:t>
            </w:r>
          </w:p>
        </w:tc>
        <w:tc>
          <w:tcPr>
            <w:tcW w:type="dxa" w:w="2160"/>
          </w:tcPr>
          <w:p>
            <w:r>
              <w:t>7,5% até R$ 1.302,00; 9% até R$ 2.571,29; 12% até R$ 3.856,94; 14% até R$ 7.507,49</w:t>
            </w:r>
          </w:p>
        </w:tc>
        <w:tc>
          <w:tcPr>
            <w:tcW w:type="dxa" w:w="2160"/>
          </w:tcPr>
          <w:p>
            <w:r>
              <w:t>R$ 7.507,49</w:t>
            </w:r>
          </w:p>
        </w:tc>
      </w:tr>
      <w:tr>
        <w:tc>
          <w:tcPr>
            <w:tcW w:type="dxa" w:w="2160"/>
          </w:tcPr>
          <w:p>
            <w:r>
              <w:t>2023-05 a 2023-12</w:t>
            </w:r>
          </w:p>
        </w:tc>
        <w:tc>
          <w:tcPr>
            <w:tcW w:type="dxa" w:w="2160"/>
          </w:tcPr>
          <w:p>
            <w:r>
              <w:t>progressiva</w:t>
            </w:r>
          </w:p>
        </w:tc>
        <w:tc>
          <w:tcPr>
            <w:tcW w:type="dxa" w:w="2160"/>
          </w:tcPr>
          <w:p>
            <w:r>
              <w:t>7,5% até R$ 1.320,00; 9% até R$ 2.571,29; 12% até R$ 3.856,94; 14% até R$ 7.507,49</w:t>
            </w:r>
          </w:p>
        </w:tc>
        <w:tc>
          <w:tcPr>
            <w:tcW w:type="dxa" w:w="2160"/>
          </w:tcPr>
          <w:p>
            <w:r>
              <w:t>R$ 7.507,49</w:t>
            </w:r>
          </w:p>
        </w:tc>
      </w:tr>
      <w:tr>
        <w:tc>
          <w:tcPr>
            <w:tcW w:type="dxa" w:w="2160"/>
          </w:tcPr>
          <w:p>
            <w:r>
              <w:t>2024-01 a 2024-12</w:t>
            </w:r>
          </w:p>
        </w:tc>
        <w:tc>
          <w:tcPr>
            <w:tcW w:type="dxa" w:w="2160"/>
          </w:tcPr>
          <w:p>
            <w:r>
              <w:t>progressiva</w:t>
            </w:r>
          </w:p>
        </w:tc>
        <w:tc>
          <w:tcPr>
            <w:tcW w:type="dxa" w:w="2160"/>
          </w:tcPr>
          <w:p>
            <w:r>
              <w:t>7,5% até R$ 1.412,00; 9% até R$ 2.666,68; 12% até R$ 4.000,03; 14% até R$ 7.786,02</w:t>
            </w:r>
          </w:p>
        </w:tc>
        <w:tc>
          <w:tcPr>
            <w:tcW w:type="dxa" w:w="2160"/>
          </w:tcPr>
          <w:p>
            <w:r>
              <w:t>R$ 7.786,02</w:t>
            </w:r>
          </w:p>
        </w:tc>
      </w:tr>
      <w:tr>
        <w:tc>
          <w:tcPr>
            <w:tcW w:type="dxa" w:w="2160"/>
          </w:tcPr>
          <w:p>
            <w:r>
              <w:t>2025-01 a 2025-12</w:t>
            </w:r>
          </w:p>
        </w:tc>
        <w:tc>
          <w:tcPr>
            <w:tcW w:type="dxa" w:w="2160"/>
          </w:tcPr>
          <w:p>
            <w:r>
              <w:t>progressiva</w:t>
            </w:r>
          </w:p>
        </w:tc>
        <w:tc>
          <w:tcPr>
            <w:tcW w:type="dxa" w:w="2160"/>
          </w:tcPr>
          <w:p>
            <w:r>
              <w:t>7,5% até R$ 1.518,00; 9% até R$ 2.793,88; 12% até R$ 4.190,83; 14% até R$ 8.157,41</w:t>
            </w:r>
          </w:p>
        </w:tc>
        <w:tc>
          <w:tcPr>
            <w:tcW w:type="dxa" w:w="2160"/>
          </w:tcPr>
          <w:p>
            <w:r>
              <w:t>R$ 8.157,41</w:t>
            </w:r>
          </w:p>
        </w:tc>
      </w:tr>
      <w:tr>
        <w:tc>
          <w:tcPr>
            <w:tcW w:type="dxa" w:w="2160"/>
          </w:tcPr>
          <w:p>
            <w:r>
              <w:t>2026-01 a 2026-12</w:t>
            </w:r>
          </w:p>
        </w:tc>
        <w:tc>
          <w:tcPr>
            <w:tcW w:type="dxa" w:w="2160"/>
          </w:tcPr>
          <w:p>
            <w:r>
              <w:t>progressiva</w:t>
            </w:r>
          </w:p>
        </w:tc>
        <w:tc>
          <w:tcPr>
            <w:tcW w:type="dxa" w:w="2160"/>
          </w:tcPr>
          <w:p>
            <w:r>
              <w:t>7,5% até R$ 1.621,00; 9% até R$ 2.902,84; 12% até R$ 4.354,27; 14% até R$ 8.475,55</w:t>
            </w:r>
          </w:p>
        </w:tc>
        <w:tc>
          <w:tcPr>
            <w:tcW w:type="dxa" w:w="2160"/>
          </w:tcPr>
          <w:p>
            <w:r>
              <w:t>R$ 8.475,55</w:t>
            </w:r>
          </w:p>
        </w:tc>
      </w:tr>
    </w:tbl>
    <w:p>
      <w:pPr>
        <w:pStyle w:val="Heading1"/>
      </w:pPr>
      <w:r>
        <w:t>5. Mudança de metodologia</w:t>
      </w:r>
    </w:p>
    <w:p>
      <w:r>
        <w:t>2017–2019: tabela tradicional de 8%, 9% e 11%. Janeiro e fevereiro de 2020: tabela tradicional. A partir de março de 2020: alíquotas progressivas por faixa, 7,5%, 9%, 12% e 14%.</w:t>
      </w:r>
    </w:p>
    <w:p>
      <w:r>
        <w:t>Na metodologia tradicional, a alíquota da faixa atingida incide sobre a base inteira, respeitado o teto. Na metodologia progressiva, cada alíquota incide somente sobre a parcela da remuneração compreendida na respectiva faixa.</w:t>
      </w:r>
    </w:p>
    <w:p>
      <w:pPr>
        <w:pStyle w:val="Heading1"/>
      </w:pPr>
      <w:r>
        <w:t>6. Guia 🔎 Verificação da Alíquota Progressiva</w:t>
      </w:r>
    </w:p>
    <w:p>
      <w:r>
        <w:t>A guia é deliberadamente independente do motor principal. Permite escolher uma competência, uma fonte/CNPJ ou o total da competência, utilizar a remuneração extraída da DIRF ou informar um valor manual e, opcionalmente, comparar com a Previdência Oficial da DIRF.</w:t>
      </w:r>
    </w:p>
    <w:p>
      <w:r>
        <w:t>O resultado apresenta a metodologia, tabela aplicada, teto, faixa por faixa, base em cada faixa, contribuição calculada e comparação com a DIRF. Os estados são: COMPATÍVEL, DIFERENÇA PARA ANÁLISE, SEM COMPARAÇÃO ou TABELA NÃO CADASTRADA.</w:t>
      </w:r>
    </w:p>
    <w:p>
      <w:pPr>
        <w:pStyle w:val="Heading1"/>
      </w:pPr>
      <w:r>
        <w:t>7. Múltiplos vínculos</w:t>
      </w:r>
    </w:p>
    <w:p>
      <w:r>
        <w:t>A partir de março de 2020, a aplicação progressiva exige tratamento conjunto das remunerações dos vínculos da competência, respeitando o limite máximo. A ordem dos vínculos pode determinar quais faixas já foram utilizadas por outra fonte pagadora. Por isso, a V1.2 sinaliza PROGRESSIVA_EM_VALIDACAO no motor principal e não transforma cada CNPJ em um cálculo progressivo independente.</w:t>
      </w:r>
    </w:p>
    <w:p>
      <w:pPr>
        <w:pStyle w:val="Heading1"/>
      </w:pPr>
      <w:r>
        <w:t>8. 13º salário</w:t>
      </w:r>
    </w:p>
    <w:p>
      <w:r>
        <w:t>O 13º não é somado à remuneração mensal para enquadramento na tabela previdenciária. A aplicação deve ser tratada separadamente.</w:t>
      </w:r>
    </w:p>
    <w:p>
      <w:pPr>
        <w:pStyle w:val="Heading1"/>
      </w:pPr>
      <w:r>
        <w:t>9. Tutorial contextual</w:t>
      </w:r>
    </w:p>
    <w:p>
      <w:r>
        <w:t>A página contém um expander discreto explicando a mudança das metodologias, evitando que o usuário precise consultar o manual para entender por que uma competência de 2019 é calculada de forma diferente de uma competência posterior a março de 2020.</w:t>
      </w:r>
    </w:p>
    <w:p>
      <w:pPr>
        <w:pStyle w:val="Heading1"/>
      </w:pPr>
      <w:r>
        <w:t>10. Exportação e auditoria</w:t>
      </w:r>
    </w:p>
    <w:p>
      <w:r>
        <w:t>O JSON de exportação utiliza schema extrator_dirf.v3.2 e inclui a base histórica utilizada. A extração RAW permanece preservada. A validação dos totais DIRF continua disponível.</w:t>
      </w:r>
    </w:p>
    <w:p>
      <w:pPr>
        <w:pStyle w:val="Heading1"/>
      </w:pPr>
      <w:r>
        <w:t>11. Validação do arquivo de teste</w:t>
      </w:r>
    </w:p>
    <w:p>
      <w:r>
        <w:t>Na validação realizada durante a construção da V1.2, a DIRF de teste Suzana Marine apresentou 135 páginas, 101 blocos de declaração, 1.414 registros estruturados e 101 verificações de totais, sem divergências.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