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Manual — Extrator DIRF + Motor Previdenciário V1.2.1</w:t>
      </w:r>
    </w:p>
    <w:p>
      <w:pPr>
        <w:spacing w:after="160"/>
      </w:pPr>
      <w:r>
        <w:t>Refinamento da V1.2 — seleção inteligente de fontes, mantendo a base histórica 2017–2026 e a verificação previdenciária independente.</w:t>
      </w:r>
    </w:p>
    <w:p>
      <w:r>
        <w:rPr>
          <w:b/>
          <w:sz w:val="24"/>
        </w:rPr>
        <w:t>1. Objetivo</w:t>
      </w:r>
    </w:p>
    <w:p>
      <w:pPr>
        <w:spacing w:after="160"/>
      </w:pPr>
      <w:r>
        <w:t>A V1.2.1 mantém a extração RAW completa da DIRF e melhora a seleção das fontes pagadoras para o agrupamento. O objetivo é reduzir a poluição visual causada por listas de CNPJ e evitar que fontes claramente financeiras ou sem movimento previdenciário sejam selecionadas inicialmente.</w:t>
      </w:r>
    </w:p>
    <w:p>
      <w:r>
        <w:rPr>
          <w:b/>
          <w:sz w:val="24"/>
        </w:rPr>
        <w:t>2. Fluxo</w:t>
      </w:r>
    </w:p>
    <w:p>
      <w:pPr>
        <w:spacing w:after="160"/>
      </w:pPr>
      <w:r>
        <w:t>DIRF PDF → Extração RAW → Filtros → Agrupamento inteligente → Classificação 11%/20%/PROGRESSIVA → Verificação histórica → Motor 11%/20% → Demonstração horizontal → Exportação.</w:t>
      </w:r>
    </w:p>
    <w:p>
      <w:r>
        <w:rPr>
          <w:b/>
          <w:sz w:val="24"/>
        </w:rPr>
        <w:t>3. Identificação das fontes</w:t>
      </w:r>
    </w:p>
    <w:p>
      <w:pPr>
        <w:spacing w:after="160"/>
      </w:pPr>
      <w:r>
        <w:t>O nome da fonte pagadora é a identificação principal. O CNPJ permanece como dado de conferência. O código DIRF e sua descrição aparecem junto da fonte.</w:t>
      </w:r>
    </w:p>
    <w:p>
      <w:r>
        <w:rPr>
          <w:b/>
          <w:sz w:val="24"/>
        </w:rPr>
        <w:t>4. Seleção inicial inteligente</w:t>
      </w:r>
    </w:p>
    <w:p>
      <w:pPr>
        <w:spacing w:after="160"/>
      </w:pPr>
      <w:r>
        <w:t>Quando exclusivos da fonte, os códigos DIRF 5706, 5557, 6800, 6813 e 8053 ficam desmarcados por padrão. Fontes sem remuneração mensal e sem Previdência Oficial também ficam desmarcadas. Fontes com remuneração e/ou Previdência Oficial são sugeridas para análise.</w:t>
      </w:r>
    </w:p>
    <w:p>
      <w:r>
        <w:rPr>
          <w:b/>
          <w:sz w:val="24"/>
        </w:rPr>
        <w:t>5. Preservação do RAW</w:t>
      </w:r>
    </w:p>
    <w:p>
      <w:pPr>
        <w:spacing w:after="160"/>
      </w:pPr>
      <w:r>
        <w:t>Desmarcar uma fonte não exclui seus registros. Todos os dados continuam disponíveis no RAW e na auditoria. A seleção afeta somente agrupamento, classificação/apuração e demonstração.</w:t>
      </w:r>
    </w:p>
    <w:p>
      <w:r>
        <w:rPr>
          <w:b/>
          <w:sz w:val="24"/>
        </w:rPr>
        <w:t>6. Ações de seleção</w:t>
      </w:r>
    </w:p>
    <w:p>
      <w:pPr>
        <w:spacing w:after="160"/>
      </w:pPr>
      <w:r>
        <w:t>A tela oferece Selecionar sugeridas, Incluir todas e Limpar seleção. Assim, qualquer fonte inicialmente excluída pode ser recuperada manualmente.</w:t>
      </w:r>
    </w:p>
    <w:p>
      <w:r>
        <w:rPr>
          <w:b/>
          <w:sz w:val="24"/>
        </w:rPr>
        <w:t>7. Classificação previdenciária</w:t>
      </w:r>
    </w:p>
    <w:p>
      <w:pPr>
        <w:spacing w:after="160"/>
      </w:pPr>
      <w:r>
        <w:t>11% — lógica de 11% da planilha-base. 20% — lógica de 20%. PROGRESSIVA — vínculo sujeito à conferência da tabela histórica; nesta versão ainda não é calculado silenciosamente pelo motor principal. NÃO DEFINIDA — impede apuração automática sem classificação.</w:t>
      </w:r>
    </w:p>
    <w:p>
      <w:r>
        <w:rPr>
          <w:b/>
          <w:sz w:val="24"/>
        </w:rPr>
        <w:t>8. Histórico 2017–2026</w:t>
      </w:r>
    </w:p>
    <w:p>
      <w:pPr>
        <w:spacing w:after="160"/>
      </w:pPr>
      <w:r>
        <w:t>A base histórica contempla empregado, empregado doméstico e trabalhador avulso do RGPS. Não misturar automaticamente com contribuinte individual, facultativo ou RPPS.</w:t>
      </w:r>
    </w:p>
    <w:p>
      <w:r>
        <w:rPr>
          <w:b/>
          <w:sz w:val="24"/>
        </w:rPr>
        <w:t>9. Mudança de metodologia</w:t>
      </w:r>
    </w:p>
    <w:p>
      <w:pPr>
        <w:spacing w:after="160"/>
      </w:pPr>
      <w:r>
        <w:t>2017–2019: tabela tradicional de 8%, 9% e 11%. Janeiro e fevereiro de 2020: tabela tradicional. A partir de março de 2020: alíquotas progressivas de 7,5%, 9%, 12% e 14%. Na metodologia tradicional, a alíquota da faixa atingida incide sobre a base inteira, respeitado o teto. Na progressiva, cada alíquota incide somente sobre a parcela correspondente.</w:t>
      </w:r>
    </w:p>
    <w:p>
      <w:r>
        <w:rPr>
          <w:b/>
          <w:sz w:val="24"/>
        </w:rPr>
        <w:t>10. Guia de Verificação</w:t>
      </w:r>
    </w:p>
    <w:p>
      <w:pPr>
        <w:spacing w:after="160"/>
      </w:pPr>
      <w:r>
        <w:t>A guia independente permite escolher competência e fonte por nome + CNPJ ou o total da competência, usar a remuneração extraída ou informar valor manual e comparar com a Previdência Oficial da DIRF. Exibe metodologia, tabela, teto, faixas, bases, contribuições e diferença.</w:t>
      </w:r>
    </w:p>
    <w:p>
      <w:r>
        <w:rPr>
          <w:b/>
          <w:sz w:val="24"/>
        </w:rPr>
        <w:t>11. Múltiplos vínculos</w:t>
      </w:r>
    </w:p>
    <w:p>
      <w:pPr>
        <w:spacing w:after="160"/>
      </w:pPr>
      <w:r>
        <w:t>A partir de março de 2020, a aplicação progressiva exige tratamento conjunto das remunerações dos vínculos da competência, respeitando o limite máximo. Por isso, a V1.2.1 mantém PROGRESSIVA_EM_VALIDACAO no motor principal.</w:t>
      </w:r>
    </w:p>
    <w:p>
      <w:r>
        <w:rPr>
          <w:b/>
          <w:sz w:val="24"/>
        </w:rPr>
        <w:t>12. 13º salário</w:t>
      </w:r>
    </w:p>
    <w:p>
      <w:pPr>
        <w:spacing w:after="160"/>
      </w:pPr>
      <w:r>
        <w:t>O 13º não é somado à remuneração mensal para enquadramento na tabela previdenciária. Deve ser tratado separadamente.</w:t>
      </w:r>
    </w:p>
    <w:p>
      <w:r>
        <w:rPr>
          <w:b/>
          <w:sz w:val="24"/>
        </w:rPr>
        <w:t>13. Tutorial contextual</w:t>
      </w:r>
    </w:p>
    <w:p>
      <w:pPr>
        <w:spacing w:after="160"/>
      </w:pPr>
      <w:r>
        <w:t>A página contém explicação discreta sobre as mudanças históricas e informa a tabela aplicada na guia de verificação.</w:t>
      </w:r>
    </w:p>
    <w:p>
      <w:r>
        <w:rPr>
          <w:b/>
          <w:sz w:val="24"/>
        </w:rPr>
        <w:t>14. Exportação e auditoria</w:t>
      </w:r>
    </w:p>
    <w:p>
      <w:pPr>
        <w:spacing w:after="160"/>
      </w:pPr>
      <w:r>
        <w:t>O JSON preserva os registros completos, classificações, fontes selecionadas, base histórica e validações. A desmarcação não apaga dados.</w:t>
      </w:r>
    </w:p>
    <w:p>
      <w:r>
        <w:rPr>
          <w:b/>
          <w:sz w:val="24"/>
        </w:rPr>
        <w:t>15. Controle de versão</w:t>
      </w:r>
    </w:p>
    <w:p>
      <w:pPr>
        <w:spacing w:after="160"/>
      </w:pPr>
      <w:r>
        <w:t>A V1.2.1 é uma melhoria de interface e seleção sobre a V1.2. A base histórica, a lógica 11%/20% e a validação progressiva independente permanecem preservadas.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