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MANUAL DETALHADO</w:t>
        <w:br/>
        <w:t>EXTRATOR DIRF + MOTOR PREVIDENCIÁRIO</w:t>
      </w:r>
    </w:p>
    <w:p>
      <w:pPr>
        <w:jc w:val="center"/>
      </w:pPr>
      <w:r>
        <w:rPr>
          <w:sz w:val="26"/>
        </w:rPr>
        <w:t>Versão 1.2.3 — Manual de operação, mecânica e auditoria</w:t>
      </w:r>
    </w:p>
    <w:p>
      <w:r>
        <w:t>Documento ampliado para explicar o funcionamento das guias, o fluxo dos dados, os critérios de seleção, a verificação histórica e os limites atuais do motor.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1. Apresentação e finalidade</w:t>
      </w:r>
    </w:p>
    <w:p>
      <w:pPr>
        <w:pStyle w:val="ListNumber"/>
      </w:pPr>
      <w:r>
        <w:t>2. 2. Visão geral da mecânica</w:t>
      </w:r>
    </w:p>
    <w:p>
      <w:pPr>
        <w:pStyle w:val="ListNumber"/>
      </w:pPr>
      <w:r>
        <w:t>3. 3. Entrada — carregamento das DIRFs</w:t>
      </w:r>
    </w:p>
    <w:p>
      <w:pPr>
        <w:pStyle w:val="ListNumber"/>
      </w:pPr>
      <w:r>
        <w:t>4. 4. O que é extraído</w:t>
      </w:r>
    </w:p>
    <w:p>
      <w:pPr>
        <w:pStyle w:val="ListNumber"/>
      </w:pPr>
      <w:r>
        <w:t>5. 5. 📄 Extração e filtros — finalidade</w:t>
      </w:r>
    </w:p>
    <w:p>
      <w:pPr>
        <w:pStyle w:val="ListNumber"/>
      </w:pPr>
      <w:r>
        <w:t>6. 6. 📄 Extração e filtros — como usar</w:t>
      </w:r>
    </w:p>
    <w:p>
      <w:pPr>
        <w:pStyle w:val="ListNumber"/>
      </w:pPr>
      <w:r>
        <w:t>7. 7. 🔗 Agrupamento de vínculos / fontes pagadoras — conceito</w:t>
      </w:r>
    </w:p>
    <w:p>
      <w:pPr>
        <w:pStyle w:val="ListNumber"/>
      </w:pPr>
      <w:r>
        <w:t>8. 8. 🔗 Agrupamento — seleção inteligente</w:t>
      </w:r>
    </w:p>
    <w:p>
      <w:pPr>
        <w:pStyle w:val="ListNumber"/>
      </w:pPr>
      <w:r>
        <w:t>9. 9. 🔗 Agrupamento — o que a seleção NÃO faz</w:t>
      </w:r>
    </w:p>
    <w:p>
      <w:pPr>
        <w:pStyle w:val="ListNumber"/>
      </w:pPr>
      <w:r>
        <w:t>10. 10. 🧩 Classificação previdenciária — escopo</w:t>
      </w:r>
    </w:p>
    <w:p>
      <w:pPr>
        <w:pStyle w:val="ListNumber"/>
      </w:pPr>
      <w:r>
        <w:t>11. 11. 🧩 Classificação — relação com o código DIRF</w:t>
      </w:r>
    </w:p>
    <w:p>
      <w:pPr>
        <w:pStyle w:val="ListNumber"/>
      </w:pPr>
      <w:r>
        <w:t>12. 12. 🔎 Verificação — mudança de modelo na V1.2.3</w:t>
      </w:r>
    </w:p>
    <w:p>
      <w:pPr>
        <w:pStyle w:val="ListNumber"/>
      </w:pPr>
      <w:r>
        <w:t>13. 13. 🔎 Verificação — carregamento automático</w:t>
      </w:r>
    </w:p>
    <w:p>
      <w:pPr>
        <w:pStyle w:val="ListNumber"/>
      </w:pPr>
      <w:r>
        <w:t>14. 14. 🔎 Verificação — resumo anual</w:t>
      </w:r>
    </w:p>
    <w:p>
      <w:pPr>
        <w:pStyle w:val="ListNumber"/>
      </w:pPr>
      <w:r>
        <w:t>15. 15. 🔎 Verificação — tabela mensal</w:t>
      </w:r>
    </w:p>
    <w:p>
      <w:pPr>
        <w:pStyle w:val="ListNumber"/>
      </w:pPr>
      <w:r>
        <w:t>16. 16. 🔎 Verificação — detalhamento de uma competência</w:t>
      </w:r>
    </w:p>
    <w:p>
      <w:pPr>
        <w:pStyle w:val="ListNumber"/>
      </w:pPr>
      <w:r>
        <w:t>17. 17. Metodologia tradicional</w:t>
      </w:r>
    </w:p>
    <w:p>
      <w:pPr>
        <w:pStyle w:val="ListNumber"/>
      </w:pPr>
      <w:r>
        <w:t>18. 18. Metodologia progressiva</w:t>
      </w:r>
    </w:p>
    <w:p>
      <w:pPr>
        <w:pStyle w:val="ListNumber"/>
      </w:pPr>
      <w:r>
        <w:t>19. 19. Base histórica 2017–2026</w:t>
      </w:r>
    </w:p>
    <w:p>
      <w:pPr>
        <w:pStyle w:val="ListNumber"/>
      </w:pPr>
      <w:r>
        <w:t>20. 20. Mudanças dentro do mesmo ano</w:t>
      </w:r>
    </w:p>
    <w:p>
      <w:pPr>
        <w:pStyle w:val="ListNumber"/>
      </w:pPr>
      <w:r>
        <w:t>21. 21. Múltiplos vínculos — por que a progressiva ainda está separada</w:t>
      </w:r>
    </w:p>
    <w:p>
      <w:pPr>
        <w:pStyle w:val="ListNumber"/>
      </w:pPr>
      <w:r>
        <w:t>22. 22. 🧮 Apuração — o que está implementado</w:t>
      </w:r>
    </w:p>
    <w:p>
      <w:pPr>
        <w:pStyle w:val="ListNumber"/>
      </w:pPr>
      <w:r>
        <w:t>23. 23. 🧮 Apuração — classificações pendentes</w:t>
      </w:r>
    </w:p>
    <w:p>
      <w:pPr>
        <w:pStyle w:val="ListNumber"/>
      </w:pPr>
      <w:r>
        <w:t>24. 24. 📊 Demonstração horizontal</w:t>
      </w:r>
    </w:p>
    <w:p>
      <w:pPr>
        <w:pStyle w:val="ListNumber"/>
      </w:pPr>
      <w:r>
        <w:t>25. 25. ⬇️ Exportação</w:t>
      </w:r>
    </w:p>
    <w:p>
      <w:pPr>
        <w:pStyle w:val="ListNumber"/>
      </w:pPr>
      <w:r>
        <w:t>26. 26. Validação dos totais da DIRF</w:t>
      </w:r>
    </w:p>
    <w:p>
      <w:pPr>
        <w:pStyle w:val="ListNumber"/>
      </w:pPr>
      <w:r>
        <w:t>27. 27. Registro bruto / auditoria</w:t>
      </w:r>
    </w:p>
    <w:p>
      <w:pPr>
        <w:pStyle w:val="ListNumber"/>
      </w:pPr>
      <w:r>
        <w:t>28. 28. Exemplo completo de uso</w:t>
      </w:r>
    </w:p>
    <w:p>
      <w:pPr>
        <w:pStyle w:val="ListNumber"/>
      </w:pPr>
      <w:r>
        <w:t>29. 29. Como interpretar uma diferença</w:t>
      </w:r>
    </w:p>
    <w:p>
      <w:pPr>
        <w:pStyle w:val="ListNumber"/>
      </w:pPr>
      <w:r>
        <w:t>30. 30. 13º salário</w:t>
      </w:r>
    </w:p>
    <w:p>
      <w:pPr>
        <w:pStyle w:val="ListNumber"/>
      </w:pPr>
      <w:r>
        <w:t>31. 31. Recomendações de trabalho</w:t>
      </w:r>
    </w:p>
    <w:p>
      <w:pPr>
        <w:pStyle w:val="ListNumber"/>
      </w:pPr>
      <w:r>
        <w:t>32. 32. O que a V1.2.3 já faz e o que ainda não faz</w:t>
      </w:r>
    </w:p>
    <w:p>
      <w:pPr>
        <w:pStyle w:val="ListNumber"/>
      </w:pPr>
      <w:r>
        <w:t>33. 33. Glossário</w:t>
      </w:r>
    </w:p>
    <w:p>
      <w:pPr>
        <w:pStyle w:val="ListNumber"/>
      </w:pPr>
      <w:r>
        <w:t>34. 34. Checklist rápido</w:t>
      </w:r>
    </w:p>
    <w:p>
      <w:r>
        <w:br w:type="page"/>
      </w:r>
    </w:p>
    <w:p>
      <w:pPr>
        <w:pStyle w:val="Heading1"/>
      </w:pPr>
      <w:r>
        <w:t>1. Apresentação e finalidade</w:t>
      </w:r>
    </w:p>
    <w:p/>
    <w:p>
      <w:pPr>
        <w:spacing w:after="100"/>
      </w:pPr>
      <w:r>
        <w:t>O Extrator DIRF + Motor Previdenciário é uma aplicação destinada a transformar declarações DIRF em uma base estruturada, auditável e utilizável para análise previdenciária. A aplicação foi desenhada em camadas: primeiro preserva-se a informação extraída; depois são aplicados filtros e seleções; em seguida ocorre a classificação previdenciária; a tabela histórica é consultada; por fim são produzidas verificações, apurações e demonstrações.</w:t>
      </w:r>
    </w:p>
    <w:p/>
    <w:p>
      <w:pPr>
        <w:spacing w:after="100"/>
      </w:pPr>
      <w:r>
        <w:t>A regra central de segurança do projeto é a preservação do RAW. Uma seleção, desmarcação ou classificação realizada pelo usuário não deve apagar os registros originais. Isso permite retornar ao dado de origem quando uma diferença for encontrada.</w:t>
      </w:r>
    </w:p>
    <w:p>
      <w:r>
        <w:br w:type="page"/>
      </w:r>
    </w:p>
    <w:p>
      <w:pPr>
        <w:pStyle w:val="Heading1"/>
      </w:pPr>
      <w:r>
        <w:t>2. Visão geral da mecânica</w:t>
      </w:r>
    </w:p>
    <w:p/>
    <w:p>
      <w:pPr>
        <w:spacing w:after="100"/>
      </w:pPr>
      <w:r>
        <w:t>O fluxo funcional da versão 1.2.3 é:</w:t>
      </w:r>
    </w:p>
    <w:p/>
    <w:p>
      <w:pPr>
        <w:spacing w:after="100"/>
      </w:pPr>
      <w:r>
        <w:t>1. Carregar uma ou mais DIRFs em PDF.</w:t>
      </w:r>
    </w:p>
    <w:p>
      <w:pPr>
        <w:spacing w:after="100"/>
      </w:pPr>
      <w:r>
        <w:t>2. Extrair os blocos reconhecidos e seus campos.</w:t>
      </w:r>
    </w:p>
    <w:p>
      <w:pPr>
        <w:spacing w:after="100"/>
      </w:pPr>
      <w:r>
        <w:t>3. Organizar os registros em DataFrame.</w:t>
      </w:r>
    </w:p>
    <w:p>
      <w:pPr>
        <w:spacing w:after="100"/>
      </w:pPr>
      <w:r>
        <w:t>4. Calcular indicadores auxiliares, como alíquota efetiva observada.</w:t>
      </w:r>
    </w:p>
    <w:p>
      <w:pPr>
        <w:spacing w:after="100"/>
      </w:pPr>
      <w:r>
        <w:t>5. Consultar e filtrar os registros.</w:t>
      </w:r>
    </w:p>
    <w:p>
      <w:pPr>
        <w:spacing w:after="100"/>
      </w:pPr>
      <w:r>
        <w:t>6. Consolidar as fontes pagadoras por CNPJ, exibindo o nome como identificação principal.</w:t>
      </w:r>
    </w:p>
    <w:p>
      <w:pPr>
        <w:spacing w:after="100"/>
      </w:pPr>
      <w:r>
        <w:t>7. Sugerir fontes para análise e manter outras fora da seleção inicial.</w:t>
      </w:r>
    </w:p>
    <w:p>
      <w:pPr>
        <w:spacing w:after="100"/>
      </w:pPr>
      <w:r>
        <w:t>8. Classificar somente as fontes selecionadas.</w:t>
      </w:r>
    </w:p>
    <w:p>
      <w:pPr>
        <w:spacing w:after="100"/>
      </w:pPr>
      <w:r>
        <w:t>9. Verificar a tabela previdenciária por ano e fonte, com cálculo mensal.</w:t>
      </w:r>
    </w:p>
    <w:p>
      <w:pPr>
        <w:spacing w:after="100"/>
      </w:pPr>
      <w:r>
        <w:t>10. Apurar as categorias 11% e 20% atualmente implementadas.</w:t>
      </w:r>
    </w:p>
    <w:p>
      <w:pPr>
        <w:spacing w:after="100"/>
      </w:pPr>
      <w:r>
        <w:t>11. Montar a demonstração horizontal.</w:t>
      </w:r>
    </w:p>
    <w:p>
      <w:pPr>
        <w:spacing w:after="100"/>
      </w:pPr>
      <w:r>
        <w:t>12. Exportar RAW, dados normalizados, apuração e validações.</w:t>
      </w:r>
    </w:p>
    <w:p/>
    <w:p>
      <w:pPr>
        <w:spacing w:after="100"/>
      </w:pPr>
      <w:r>
        <w:t>A classificação, a verificação e a apuração são camadas posteriores à extração. Elas não reescrevem o dado original.</w:t>
      </w:r>
    </w:p>
    <w:p>
      <w:pPr>
        <w:pStyle w:val="Heading1"/>
      </w:pPr>
      <w:r>
        <w:t>3. Entrada — carregamento das DIRFs</w:t>
      </w:r>
    </w:p>
    <w:p/>
    <w:p>
      <w:pPr>
        <w:spacing w:after="100"/>
      </w:pPr>
      <w:r>
        <w:t>Na barra lateral, o usuário seleciona uma ou mais DIRFs em PDF. A aplicação aceita múltiplos arquivos na mesma sessão.</w:t>
      </w:r>
    </w:p>
    <w:p/>
    <w:p>
      <w:pPr>
        <w:spacing w:after="100"/>
      </w:pPr>
      <w:r>
        <w:t>Para cada arquivo, a rotina de extração é executada separadamente. O nome do arquivo é incorporado aos registros como arquivo_origem e a quantidade de páginas é preservada nos dados da declaração.</w:t>
      </w:r>
    </w:p>
    <w:p/>
    <w:p>
      <w:pPr>
        <w:spacing w:after="100"/>
      </w:pPr>
      <w:r>
        <w:t>Se um arquivo apresentar erro de processamento, ele é listado na área de falhas sem impedir, necessariamente, o processamento dos demais arquivos. Se nenhum registro reconhecível for encontrado, a aplicação interrompe as etapas seguintes porque não existe base para análise.</w:t>
      </w:r>
    </w:p>
    <w:p>
      <w:pPr>
        <w:pStyle w:val="Heading1"/>
      </w:pPr>
      <w:r>
        <w:t>4. O que é extraído</w:t>
      </w:r>
    </w:p>
    <w:p/>
    <w:p>
      <w:pPr>
        <w:spacing w:after="100"/>
      </w:pPr>
      <w:r>
        <w:t>A extração não se limita aos três valores exibidos nas consultas simples. O registro estruturado preserva informações de identificação, natureza do rendimento, valores mensais e campos auxiliares.</w:t>
      </w:r>
    </w:p>
    <w:p/>
    <w:p>
      <w:pPr>
        <w:spacing w:after="100"/>
      </w:pPr>
      <w:r>
        <w:t>Entre os campos utilizados pelo sistema estão:</w:t>
      </w:r>
    </w:p>
    <w:p>
      <w:pPr>
        <w:pStyle w:val="ListBullet"/>
        <w:spacing w:after="40"/>
      </w:pPr>
      <w:r>
        <w:t>• beneficiário;</w:t>
      </w:r>
    </w:p>
    <w:p>
      <w:pPr>
        <w:pStyle w:val="ListBullet"/>
        <w:spacing w:after="40"/>
      </w:pPr>
      <w:r>
        <w:t>• CPF, quando presente;</w:t>
      </w:r>
    </w:p>
    <w:p>
      <w:pPr>
        <w:pStyle w:val="ListBullet"/>
        <w:spacing w:after="40"/>
      </w:pPr>
      <w:r>
        <w:t>• nome do declarante/fonte;</w:t>
      </w:r>
    </w:p>
    <w:p>
      <w:pPr>
        <w:pStyle w:val="ListBullet"/>
        <w:spacing w:after="40"/>
      </w:pPr>
      <w:r>
        <w:t>• CNPJ do declarante;</w:t>
      </w:r>
    </w:p>
    <w:p>
      <w:pPr>
        <w:pStyle w:val="ListBullet"/>
        <w:spacing w:after="40"/>
      </w:pPr>
      <w:r>
        <w:t>• ano-calendário;</w:t>
      </w:r>
    </w:p>
    <w:p>
      <w:pPr>
        <w:pStyle w:val="ListBullet"/>
        <w:spacing w:after="40"/>
      </w:pPr>
      <w:r>
        <w:t>• código da receita;</w:t>
      </w:r>
    </w:p>
    <w:p>
      <w:pPr>
        <w:pStyle w:val="ListBullet"/>
        <w:spacing w:after="40"/>
      </w:pPr>
      <w:r>
        <w:t>• descrição do código;</w:t>
      </w:r>
    </w:p>
    <w:p>
      <w:pPr>
        <w:pStyle w:val="ListBullet"/>
        <w:spacing w:after="40"/>
      </w:pPr>
      <w:r>
        <w:t>• competência;</w:t>
      </w:r>
    </w:p>
    <w:p>
      <w:pPr>
        <w:pStyle w:val="ListBullet"/>
        <w:spacing w:after="40"/>
      </w:pPr>
      <w:r>
        <w:t>• tipo da competência;</w:t>
      </w:r>
    </w:p>
    <w:p>
      <w:pPr>
        <w:pStyle w:val="ListBullet"/>
        <w:spacing w:after="40"/>
      </w:pPr>
      <w:r>
        <w:t>• rendimento tributável;</w:t>
      </w:r>
    </w:p>
    <w:p>
      <w:pPr>
        <w:pStyle w:val="ListBullet"/>
        <w:spacing w:after="40"/>
      </w:pPr>
      <w:r>
        <w:t>• IRRF;</w:t>
      </w:r>
    </w:p>
    <w:p>
      <w:pPr>
        <w:pStyle w:val="ListBullet"/>
        <w:spacing w:after="40"/>
      </w:pPr>
      <w:r>
        <w:t>• Previdência Oficial;</w:t>
      </w:r>
    </w:p>
    <w:p>
      <w:pPr>
        <w:pStyle w:val="ListBullet"/>
        <w:spacing w:after="40"/>
      </w:pPr>
      <w:r>
        <w:t>• dependentes;</w:t>
      </w:r>
    </w:p>
    <w:p>
      <w:pPr>
        <w:pStyle w:val="ListBullet"/>
        <w:spacing w:after="40"/>
      </w:pPr>
      <w:r>
        <w:t>• pensão alimentícia;</w:t>
      </w:r>
    </w:p>
    <w:p>
      <w:pPr>
        <w:pStyle w:val="ListBullet"/>
        <w:spacing w:after="40"/>
      </w:pPr>
      <w:r>
        <w:t>• desconto simplificado;</w:t>
      </w:r>
    </w:p>
    <w:p>
      <w:pPr>
        <w:pStyle w:val="ListBullet"/>
        <w:spacing w:after="40"/>
      </w:pPr>
      <w:r>
        <w:t>• previdência complementar;</w:t>
      </w:r>
    </w:p>
    <w:p>
      <w:pPr>
        <w:pStyle w:val="ListBullet"/>
        <w:spacing w:after="40"/>
      </w:pPr>
      <w:r>
        <w:t>• compensações judiciais;</w:t>
      </w:r>
    </w:p>
    <w:p>
      <w:pPr>
        <w:pStyle w:val="ListBullet"/>
        <w:spacing w:after="40"/>
      </w:pPr>
      <w:r>
        <w:t>• fundo/clube;</w:t>
      </w:r>
    </w:p>
    <w:p>
      <w:pPr>
        <w:pStyle w:val="ListBullet"/>
        <w:spacing w:after="40"/>
      </w:pPr>
      <w:r>
        <w:t>• número do processo;</w:t>
      </w:r>
    </w:p>
    <w:p>
      <w:pPr>
        <w:pStyle w:val="ListBullet"/>
        <w:spacing w:after="40"/>
      </w:pPr>
      <w:r>
        <w:t>• página do PDF;</w:t>
      </w:r>
    </w:p>
    <w:p>
      <w:pPr>
        <w:pStyle w:val="ListBullet"/>
        <w:spacing w:after="40"/>
      </w:pPr>
      <w:r>
        <w:t>• arquivo de origem.</w:t>
      </w:r>
    </w:p>
    <w:p/>
    <w:p>
      <w:pPr>
        <w:spacing w:after="100"/>
      </w:pPr>
      <w:r>
        <w:t>A existência de um campo no RAW não significa que ele seja utilizado pelo motor atual. O objetivo da camada RAW é preservar informação para usos posteriores e auditoria.</w:t>
      </w:r>
    </w:p>
    <w:p>
      <w:pPr>
        <w:pStyle w:val="Heading1"/>
      </w:pPr>
      <w:r>
        <w:t>5. 📄 Extração e filtros — finalidade</w:t>
      </w:r>
    </w:p>
    <w:p/>
    <w:p>
      <w:pPr>
        <w:spacing w:after="100"/>
      </w:pPr>
      <w:r>
        <w:t>Esta guia tem duas funções: conferência da extração e consulta operacional.</w:t>
      </w:r>
    </w:p>
    <w:p/>
    <w:p>
      <w:pPr>
        <w:spacing w:after="100"/>
      </w:pPr>
      <w:r>
        <w:t>A seção “Declarações identificadas” apresenta combinações de ano, CNPJ, nome, código de receita, descrição, página e arquivo de origem. Como a mesma informação pode aparecer em mais de um registro, a tela usa combinações distintas para evitar repetição desnecessária.</w:t>
      </w:r>
    </w:p>
    <w:p/>
    <w:p>
      <w:pPr>
        <w:spacing w:after="100"/>
      </w:pPr>
      <w:r>
        <w:t>A seção “Consulta para Excel” trabalha sobre registros mensais e de 13º. O usuário pode filtrar por ano, declarante, CNPJ, código DIRF, tipo, grupo previdenciário e competência.</w:t>
      </w:r>
    </w:p>
    <w:p>
      <w:pPr>
        <w:pStyle w:val="Heading1"/>
      </w:pPr>
      <w:r>
        <w:t>6. 📄 Extração e filtros — como usar</w:t>
      </w:r>
    </w:p>
    <w:p/>
    <w:p>
      <w:pPr>
        <w:spacing w:after="100"/>
      </w:pPr>
      <w:r>
        <w:t>Procedimento recomendado:</w:t>
      </w:r>
    </w:p>
    <w:p>
      <w:pPr>
        <w:spacing w:after="100"/>
      </w:pPr>
      <w:r>
        <w:t>1. Selecione o ano para reduzir o universo.</w:t>
      </w:r>
    </w:p>
    <w:p>
      <w:pPr>
        <w:spacing w:after="100"/>
      </w:pPr>
      <w:r>
        <w:t>2. Se necessário, selecione o declarante.</w:t>
      </w:r>
    </w:p>
    <w:p>
      <w:pPr>
        <w:spacing w:after="100"/>
      </w:pPr>
      <w:r>
        <w:t>3. Use o CNPJ apenas quando precisar localizar uma fonte específica.</w:t>
      </w:r>
    </w:p>
    <w:p>
      <w:pPr>
        <w:spacing w:after="100"/>
      </w:pPr>
      <w:r>
        <w:t>4. Filtre pelo código DIRF quando quiser investigar uma natureza de rendimento.</w:t>
      </w:r>
    </w:p>
    <w:p>
      <w:pPr>
        <w:spacing w:after="100"/>
      </w:pPr>
      <w:r>
        <w:t>5. Escolha “mensal” ou “13º” em Tipo quando essa distinção for relevante.</w:t>
      </w:r>
    </w:p>
    <w:p>
      <w:pPr>
        <w:spacing w:after="100"/>
      </w:pPr>
      <w:r>
        <w:t>6. Use Grupo previdenciário para conferir as classificações já atribuídas.</w:t>
      </w:r>
    </w:p>
    <w:p>
      <w:pPr>
        <w:spacing w:after="100"/>
      </w:pPr>
      <w:r>
        <w:t>7. Na lista de competências, mantenha somente os meses que deseja exportar/visualizar.</w:t>
      </w:r>
    </w:p>
    <w:p/>
    <w:p>
      <w:pPr>
        <w:spacing w:after="100"/>
      </w:pPr>
      <w:r>
        <w:t>O botão “COPIAR PARA EXCEL” copia o resultado filtrado para a área de transferência em formato tabulado. O que é copiado é somente o resultado da consulta; o JSON RAW continua completo.</w:t>
      </w:r>
    </w:p>
    <w:p>
      <w:pPr>
        <w:pStyle w:val="Heading1"/>
      </w:pPr>
      <w:r>
        <w:t>7. 🔗 Agrupamento de vínculos / fontes pagadoras — conceito</w:t>
      </w:r>
    </w:p>
    <w:p/>
    <w:p>
      <w:pPr>
        <w:spacing w:after="100"/>
      </w:pPr>
      <w:r>
        <w:t>O agrupamento é uma camada operacional. O sistema consolida os registros por CNPJ do declarante e apresenta o nome da fonte como identificação principal.</w:t>
      </w:r>
    </w:p>
    <w:p/>
    <w:p>
      <w:pPr>
        <w:spacing w:after="100"/>
      </w:pPr>
      <w:r>
        <w:t>O CNPJ não desaparece: ele continua visível como identificador de conferência. O objetivo é evitar que o usuário precise memorizar números para reconhecer uma fonte.</w:t>
      </w:r>
    </w:p>
    <w:p/>
    <w:p>
      <w:pPr>
        <w:spacing w:after="100"/>
      </w:pPr>
      <w:r>
        <w:t>Uma mesma fonte pode possuir mais de um código DIRF. Nesse caso, os códigos são apresentados juntos no cartão da fonte. A fonte continua sendo uma única unidade de seleção.</w:t>
      </w:r>
    </w:p>
    <w:p>
      <w:pPr>
        <w:pStyle w:val="Heading1"/>
      </w:pPr>
      <w:r>
        <w:t>8. 🔗 Agrupamento — seleção inteligente</w:t>
      </w:r>
    </w:p>
    <w:p/>
    <w:p>
      <w:pPr>
        <w:spacing w:after="100"/>
      </w:pPr>
      <w:r>
        <w:t>A aplicação cria uma sugestão inicial. As fontes cujos códigos estejam exclusivamente no conjunto 5706, 5557, 6800, 6813 ou 8053 são tratadas, para esta camada, como fontes financeiras/investimentos e ficam fora da seleção inicial. Também ficam fora da seleção inicial as fontes sem remuneração mensal e sem Previdência Oficial mensal.</w:t>
      </w:r>
    </w:p>
    <w:p/>
    <w:p>
      <w:pPr>
        <w:spacing w:after="100"/>
      </w:pPr>
      <w:r>
        <w:t>As demais fontes são sugeridas para análise. “Sugerida” não significa “legalmente previdenciária”; significa apenas que há elementos suficientes para justificar sua análise na camada seguinte.</w:t>
      </w:r>
    </w:p>
    <w:p/>
    <w:p>
      <w:pPr>
        <w:spacing w:after="100"/>
      </w:pPr>
      <w:r>
        <w:t>A aplicação permite:</w:t>
      </w:r>
    </w:p>
    <w:p>
      <w:pPr>
        <w:pStyle w:val="ListBullet"/>
        <w:spacing w:after="40"/>
      </w:pPr>
      <w:r>
        <w:t>• Selecionar sugeridas;</w:t>
      </w:r>
    </w:p>
    <w:p>
      <w:pPr>
        <w:pStyle w:val="ListBullet"/>
        <w:spacing w:after="40"/>
      </w:pPr>
      <w:r>
        <w:t>• Incluir todas;</w:t>
      </w:r>
    </w:p>
    <w:p>
      <w:pPr>
        <w:pStyle w:val="ListBullet"/>
        <w:spacing w:after="40"/>
      </w:pPr>
      <w:r>
        <w:t>• Limpar seleção;</w:t>
      </w:r>
    </w:p>
    <w:p>
      <w:pPr>
        <w:pStyle w:val="ListBullet"/>
        <w:spacing w:after="40"/>
      </w:pPr>
      <w:r>
        <w:t>• marcar/desmarcar cada fonte individualmente.</w:t>
      </w:r>
    </w:p>
    <w:p/>
    <w:p>
      <w:pPr>
        <w:spacing w:after="100"/>
      </w:pPr>
      <w:r>
        <w:t>A seção de outras fontes fica recolhida para reduzir a poluição visual.</w:t>
      </w:r>
    </w:p>
    <w:p>
      <w:pPr>
        <w:pStyle w:val="Heading1"/>
      </w:pPr>
      <w:r>
        <w:t>9. 🔗 Agrupamento — o que a seleção NÃO faz</w:t>
      </w:r>
    </w:p>
    <w:p/>
    <w:p>
      <w:pPr>
        <w:spacing w:after="100"/>
      </w:pPr>
      <w:r>
        <w:t>Desmarcar uma fonte não exclui seus registros. A fonte continua no DataFrame original, no JSON RAW e na auditoria.</w:t>
      </w:r>
    </w:p>
    <w:p/>
    <w:p>
      <w:pPr>
        <w:spacing w:after="100"/>
      </w:pPr>
      <w:r>
        <w:t>Da mesma forma, selecionar uma fonte não determina sua alíquota. A seleção apenas diz: “esta fonte fará parte das etapas posteriores”.</w:t>
      </w:r>
    </w:p>
    <w:p/>
    <w:p>
      <w:pPr>
        <w:spacing w:after="100"/>
      </w:pPr>
      <w:r>
        <w:t>A sequência é deliberadamente separada:</w:t>
      </w:r>
    </w:p>
    <w:p>
      <w:pPr>
        <w:spacing w:after="100"/>
      </w:pPr>
      <w:r>
        <w:t>Fonte encontrada → Fonte selecionada → Fonte classificada → Fonte utilizada no cálculo.</w:t>
      </w:r>
    </w:p>
    <w:p/>
    <w:p>
      <w:pPr>
        <w:spacing w:after="100"/>
      </w:pPr>
      <w:r>
        <w:t>Essa separação evita que a interface transforme uma inferência de natureza do rendimento em uma conclusão automática de alíquota.</w:t>
      </w:r>
    </w:p>
    <w:p>
      <w:pPr>
        <w:pStyle w:val="Heading1"/>
      </w:pPr>
      <w:r>
        <w:t>10. 🧩 Classificação previdenciária — escopo</w:t>
      </w:r>
    </w:p>
    <w:p/>
    <w:p>
      <w:pPr>
        <w:spacing w:after="100"/>
      </w:pPr>
      <w:r>
        <w:t>A guia de classificação recebe exclusivamente as fontes selecionadas no agrupamento.</w:t>
      </w:r>
    </w:p>
    <w:p/>
    <w:p>
      <w:pPr>
        <w:spacing w:after="100"/>
      </w:pPr>
      <w:r>
        <w:t>As opções atuais são:</w:t>
      </w:r>
    </w:p>
    <w:p>
      <w:pPr>
        <w:pStyle w:val="ListBullet"/>
        <w:spacing w:after="40"/>
      </w:pPr>
      <w:r>
        <w:t>• nao_definido;</w:t>
      </w:r>
    </w:p>
    <w:p>
      <w:pPr>
        <w:pStyle w:val="ListBullet"/>
        <w:spacing w:after="40"/>
      </w:pPr>
      <w:r>
        <w:t>• 11;</w:t>
      </w:r>
    </w:p>
    <w:p>
      <w:pPr>
        <w:pStyle w:val="ListBullet"/>
        <w:spacing w:after="40"/>
      </w:pPr>
      <w:r>
        <w:t>• 20;</w:t>
      </w:r>
    </w:p>
    <w:p>
      <w:pPr>
        <w:pStyle w:val="ListBullet"/>
        <w:spacing w:after="40"/>
      </w:pPr>
      <w:r>
        <w:t>• progressiva.</w:t>
      </w:r>
    </w:p>
    <w:p/>
    <w:p>
      <w:pPr>
        <w:spacing w:after="100"/>
      </w:pPr>
      <w:r>
        <w:t>A classificação é manual. Ela fica registrada no estado da sessão e é aplicada por CNPJ.</w:t>
      </w:r>
    </w:p>
    <w:p/>
    <w:p>
      <w:pPr>
        <w:spacing w:after="100"/>
      </w:pPr>
      <w:r>
        <w:t>A aplicação também pode exibir uma alíquota efetiva observada, obtida pela relação Previdência Oficial ÷ rendimento tributável quando a base é diferente de zero. Esse percentual é um indicador diagnóstico. Ele não é utilizado isoladamente para decidir o grupo previdenciário.</w:t>
      </w:r>
    </w:p>
    <w:p>
      <w:pPr>
        <w:pStyle w:val="Heading1"/>
      </w:pPr>
      <w:r>
        <w:t>11. 🧩 Classificação — relação com o código DIRF</w:t>
      </w:r>
    </w:p>
    <w:p/>
    <w:p>
      <w:pPr>
        <w:spacing w:after="100"/>
      </w:pPr>
      <w:r>
        <w:t>O código DIRF descreve a natureza declaratória do rendimento. Ele é uma evidência importante para análise, mas não deve ser tratado automaticamente como sinônimo de alíquota previdenciária.</w:t>
      </w:r>
    </w:p>
    <w:p/>
    <w:p>
      <w:pPr>
        <w:spacing w:after="100"/>
      </w:pPr>
      <w:r>
        <w:t>Exemplos:</w:t>
      </w:r>
    </w:p>
    <w:p>
      <w:pPr>
        <w:pStyle w:val="ListBullet"/>
        <w:spacing w:after="40"/>
      </w:pPr>
      <w:r>
        <w:t>• 0561 — rendimentos do trabalho assalariado;</w:t>
      </w:r>
    </w:p>
    <w:p>
      <w:pPr>
        <w:pStyle w:val="ListBullet"/>
        <w:spacing w:after="40"/>
      </w:pPr>
      <w:r>
        <w:t>• 0588 — rendimentos do trabalho sem vínculo empregatício;</w:t>
      </w:r>
    </w:p>
    <w:p>
      <w:pPr>
        <w:pStyle w:val="ListBullet"/>
        <w:spacing w:after="40"/>
      </w:pPr>
      <w:r>
        <w:t>• 5928 — rendimento decorrente de decisão da Justiça Federal;</w:t>
      </w:r>
    </w:p>
    <w:p>
      <w:pPr>
        <w:pStyle w:val="ListBullet"/>
        <w:spacing w:after="40"/>
      </w:pPr>
      <w:r>
        <w:t>• 3533 — proventos de aposentadoria, reserva, reforma ou pensão pagos por previdência pública;</w:t>
      </w:r>
    </w:p>
    <w:p>
      <w:pPr>
        <w:pStyle w:val="ListBullet"/>
        <w:spacing w:after="40"/>
      </w:pPr>
      <w:r>
        <w:t>• 5706, 5557, 6800, 6813 e 8053 — códigos que, na seleção inicial desta aplicação, são tratados como fontes financeiras/investimentos.</w:t>
      </w:r>
    </w:p>
    <w:p/>
    <w:p>
      <w:pPr>
        <w:spacing w:after="100"/>
      </w:pPr>
      <w:r>
        <w:t>O sistema mantém a possibilidade de o usuário incluir manualmente uma fonte inicialmente não sugerida.</w:t>
      </w:r>
    </w:p>
    <w:p>
      <w:pPr>
        <w:pStyle w:val="Heading1"/>
      </w:pPr>
      <w:r>
        <w:t>12. 🔎 Verificação — mudança de modelo na V1.2.3</w:t>
      </w:r>
    </w:p>
    <w:p/>
    <w:p>
      <w:pPr>
        <w:spacing w:after="100"/>
      </w:pPr>
      <w:r>
        <w:t>A guia de verificação passou de um teste centrado em uma única competência para uma verificação organizada por ano-calendário e fonte.</w:t>
      </w:r>
    </w:p>
    <w:p/>
    <w:p>
      <w:pPr>
        <w:spacing w:after="100"/>
      </w:pPr>
      <w:r>
        <w:t>O usuário escolhe:</w:t>
      </w:r>
    </w:p>
    <w:p>
      <w:pPr>
        <w:pStyle w:val="ListBullet"/>
        <w:spacing w:after="40"/>
      </w:pPr>
      <w:r>
        <w:t>• Ano-calendário;</w:t>
      </w:r>
    </w:p>
    <w:p>
      <w:pPr>
        <w:pStyle w:val="ListBullet"/>
        <w:spacing w:after="40"/>
      </w:pPr>
      <w:r>
        <w:t>• Fonte/vínculo já selecionado no agrupamento.</w:t>
      </w:r>
    </w:p>
    <w:p/>
    <w:p>
      <w:pPr>
        <w:spacing w:after="100"/>
      </w:pPr>
      <w:r>
        <w:t>A aplicação então localiza as competências mensais daquela fonte dentro do ano escolhido e executa a verificação individualmente para cada mês.</w:t>
      </w:r>
    </w:p>
    <w:p/>
    <w:p>
      <w:pPr>
        <w:spacing w:after="100"/>
      </w:pPr>
      <w:r>
        <w:t>O ano serve para navegação, consolidação e resumo. A competência continua sendo a unidade real do cálculo.</w:t>
      </w:r>
    </w:p>
    <w:p>
      <w:r>
        <w:br w:type="page"/>
      </w:r>
    </w:p>
    <w:p>
      <w:pPr>
        <w:pStyle w:val="Heading1"/>
      </w:pPr>
      <w:r>
        <w:t>13. 🔎 Verificação — carregamento automático</w:t>
      </w:r>
    </w:p>
    <w:p/>
    <w:p>
      <w:pPr>
        <w:spacing w:after="100"/>
      </w:pPr>
      <w:r>
        <w:t>Ao escolher uma fonte, a aplicação obtém diretamente do DataFrame os registros mensais encontrados para o ano selecionado. Para cada competência, a remuneração e a Previdência Oficial da DIRF são utilizadas como valores de referência.</w:t>
      </w:r>
    </w:p>
    <w:p/>
    <w:p>
      <w:pPr>
        <w:spacing w:after="100"/>
      </w:pPr>
      <w:r>
        <w:t>Isso elimina a necessidade de digitar manualmente cada mês quando o objetivo é auditar uma DIRF real.</w:t>
      </w:r>
    </w:p>
    <w:p/>
    <w:p>
      <w:pPr>
        <w:spacing w:after="100"/>
      </w:pPr>
      <w:r>
        <w:t>O sistema mantém também a possibilidade de análise manual, útil para testar a matemática de uma faixa sem depender dos valores da DIRF.</w:t>
      </w:r>
    </w:p>
    <w:p>
      <w:pPr>
        <w:pStyle w:val="Heading1"/>
      </w:pPr>
      <w:r>
        <w:t>14. 🔎 Verificação — resumo anual</w:t>
      </w:r>
    </w:p>
    <w:p/>
    <w:p>
      <w:pPr>
        <w:spacing w:after="100"/>
      </w:pPr>
      <w:r>
        <w:t>O resumo anual informa:</w:t>
      </w:r>
    </w:p>
    <w:p>
      <w:pPr>
        <w:pStyle w:val="ListBullet"/>
        <w:spacing w:after="40"/>
      </w:pPr>
      <w:r>
        <w:t>• quantidade de competências encontradas;</w:t>
      </w:r>
    </w:p>
    <w:p>
      <w:pPr>
        <w:pStyle w:val="ListBullet"/>
        <w:spacing w:after="40"/>
      </w:pPr>
      <w:r>
        <w:t>• remuneração acumulada;</w:t>
      </w:r>
    </w:p>
    <w:p>
      <w:pPr>
        <w:pStyle w:val="ListBullet"/>
        <w:spacing w:after="40"/>
      </w:pPr>
      <w:r>
        <w:t>• Previdência Oficial acumulada na DIRF;</w:t>
      </w:r>
    </w:p>
    <w:p>
      <w:pPr>
        <w:pStyle w:val="ListBullet"/>
        <w:spacing w:after="40"/>
      </w:pPr>
      <w:r>
        <w:t>• contribuição calculada;</w:t>
      </w:r>
    </w:p>
    <w:p>
      <w:pPr>
        <w:pStyle w:val="ListBullet"/>
        <w:spacing w:after="40"/>
      </w:pPr>
      <w:r>
        <w:t>• diferença acumulada;</w:t>
      </w:r>
    </w:p>
    <w:p>
      <w:pPr>
        <w:pStyle w:val="ListBullet"/>
        <w:spacing w:after="40"/>
      </w:pPr>
      <w:r>
        <w:t>• quantidade de competências compatíveis;</w:t>
      </w:r>
    </w:p>
    <w:p>
      <w:pPr>
        <w:pStyle w:val="ListBullet"/>
        <w:spacing w:after="40"/>
      </w:pPr>
      <w:r>
        <w:t>• quantidade de competências para análise;</w:t>
      </w:r>
    </w:p>
    <w:p>
      <w:pPr>
        <w:pStyle w:val="ListBullet"/>
        <w:spacing w:after="40"/>
      </w:pPr>
      <w:r>
        <w:t>• quantidade sem comparação;</w:t>
      </w:r>
    </w:p>
    <w:p>
      <w:pPr>
        <w:pStyle w:val="ListBullet"/>
        <w:spacing w:after="40"/>
      </w:pPr>
      <w:r>
        <w:t>• quantidade sem tabela cadastrada.</w:t>
      </w:r>
    </w:p>
    <w:p/>
    <w:p>
      <w:pPr>
        <w:spacing w:after="100"/>
      </w:pPr>
      <w:r>
        <w:t>O resumo não substitui a análise mensal. Ele funciona como painel de triagem: primeiro mostra se o ano parece consistente; depois permite localizar os meses que precisam de investigação.</w:t>
      </w:r>
    </w:p>
    <w:p>
      <w:pPr>
        <w:pStyle w:val="Heading1"/>
      </w:pPr>
      <w:r>
        <w:t>15. 🔎 Verificação — tabela mensal</w:t>
      </w:r>
    </w:p>
    <w:p/>
    <w:p>
      <w:pPr>
        <w:spacing w:after="100"/>
      </w:pPr>
      <w:r>
        <w:t>A tabela mensal apresenta, por competência:</w:t>
      </w:r>
    </w:p>
    <w:p>
      <w:pPr>
        <w:pStyle w:val="ListBullet"/>
        <w:spacing w:after="40"/>
      </w:pPr>
      <w:r>
        <w:t>• Competência;</w:t>
      </w:r>
    </w:p>
    <w:p>
      <w:pPr>
        <w:pStyle w:val="ListBullet"/>
        <w:spacing w:after="40"/>
      </w:pPr>
      <w:r>
        <w:t>• Metodologia;</w:t>
      </w:r>
    </w:p>
    <w:p>
      <w:pPr>
        <w:pStyle w:val="ListBullet"/>
        <w:spacing w:after="40"/>
      </w:pPr>
      <w:r>
        <w:t>• Tabela utilizada;</w:t>
      </w:r>
    </w:p>
    <w:p>
      <w:pPr>
        <w:pStyle w:val="ListBullet"/>
        <w:spacing w:after="40"/>
      </w:pPr>
      <w:r>
        <w:t>• Remuneração;</w:t>
      </w:r>
    </w:p>
    <w:p>
      <w:pPr>
        <w:pStyle w:val="ListBullet"/>
        <w:spacing w:after="40"/>
      </w:pPr>
      <w:r>
        <w:t>• Previdência DIRF;</w:t>
      </w:r>
    </w:p>
    <w:p>
      <w:pPr>
        <w:pStyle w:val="ListBullet"/>
        <w:spacing w:after="40"/>
      </w:pPr>
      <w:r>
        <w:t>• Calculada;</w:t>
      </w:r>
    </w:p>
    <w:p>
      <w:pPr>
        <w:pStyle w:val="ListBullet"/>
        <w:spacing w:after="40"/>
      </w:pPr>
      <w:r>
        <w:t>• Diferença;</w:t>
      </w:r>
    </w:p>
    <w:p>
      <w:pPr>
        <w:pStyle w:val="ListBullet"/>
        <w:spacing w:after="40"/>
      </w:pPr>
      <w:r>
        <w:t>• Status.</w:t>
      </w:r>
    </w:p>
    <w:p/>
    <w:p>
      <w:pPr>
        <w:spacing w:after="100"/>
      </w:pPr>
      <w:r>
        <w:t>A diferença é calculada como “DIRF menos calculado”. Assim, valor positivo significa que a Previdência informada na DIRF é maior que o resultado calculado pela regra selecionada; valor negativo indica o inverso.</w:t>
      </w:r>
    </w:p>
    <w:p>
      <w:pPr>
        <w:pStyle w:val="Heading1"/>
      </w:pPr>
      <w:r>
        <w:t>16. 🔎 Verificação — detalhamento de uma competência</w:t>
      </w:r>
    </w:p>
    <w:p/>
    <w:p>
      <w:pPr>
        <w:spacing w:after="100"/>
      </w:pPr>
      <w:r>
        <w:t>Cada mês pode ser expandido.</w:t>
      </w:r>
    </w:p>
    <w:p/>
    <w:p>
      <w:pPr>
        <w:spacing w:after="100"/>
      </w:pPr>
      <w:r>
        <w:t>O detalhamento informa:</w:t>
      </w:r>
    </w:p>
    <w:p>
      <w:pPr>
        <w:pStyle w:val="ListBullet"/>
        <w:spacing w:after="40"/>
      </w:pPr>
      <w:r>
        <w:t>• metodologia;</w:t>
      </w:r>
    </w:p>
    <w:p>
      <w:pPr>
        <w:pStyle w:val="ListBullet"/>
        <w:spacing w:after="40"/>
      </w:pPr>
      <w:r>
        <w:t>• identificador da tabela;</w:t>
      </w:r>
    </w:p>
    <w:p>
      <w:pPr>
        <w:pStyle w:val="ListBullet"/>
        <w:spacing w:after="40"/>
      </w:pPr>
      <w:r>
        <w:t>• teto;</w:t>
      </w:r>
    </w:p>
    <w:p>
      <w:pPr>
        <w:pStyle w:val="ListBullet"/>
        <w:spacing w:after="40"/>
      </w:pPr>
      <w:r>
        <w:t>• fonte registrada;</w:t>
      </w:r>
    </w:p>
    <w:p>
      <w:pPr>
        <w:pStyle w:val="ListBullet"/>
        <w:spacing w:after="40"/>
      </w:pPr>
      <w:r>
        <w:t>• contribuição calculada;</w:t>
      </w:r>
    </w:p>
    <w:p>
      <w:pPr>
        <w:pStyle w:val="ListBullet"/>
        <w:spacing w:after="40"/>
      </w:pPr>
      <w:r>
        <w:t>• Previdência informada na DIRF;</w:t>
      </w:r>
    </w:p>
    <w:p>
      <w:pPr>
        <w:pStyle w:val="ListBullet"/>
        <w:spacing w:after="40"/>
      </w:pPr>
      <w:r>
        <w:t>• diferença;</w:t>
      </w:r>
    </w:p>
    <w:p>
      <w:pPr>
        <w:pStyle w:val="ListBullet"/>
        <w:spacing w:after="40"/>
      </w:pPr>
      <w:r>
        <w:t>• faixas da tabela;</w:t>
      </w:r>
    </w:p>
    <w:p>
      <w:pPr>
        <w:pStyle w:val="ListBullet"/>
        <w:spacing w:after="40"/>
      </w:pPr>
      <w:r>
        <w:t>• limite inferior e superior;</w:t>
      </w:r>
    </w:p>
    <w:p>
      <w:pPr>
        <w:pStyle w:val="ListBullet"/>
        <w:spacing w:after="40"/>
      </w:pPr>
      <w:r>
        <w:t>• alíquota;</w:t>
      </w:r>
    </w:p>
    <w:p>
      <w:pPr>
        <w:pStyle w:val="ListBullet"/>
        <w:spacing w:after="40"/>
      </w:pPr>
      <w:r>
        <w:t>• base efetivamente distribuída na faixa;</w:t>
      </w:r>
    </w:p>
    <w:p>
      <w:pPr>
        <w:pStyle w:val="ListBullet"/>
        <w:spacing w:after="40"/>
      </w:pPr>
      <w:r>
        <w:t>• contribuição correspondente.</w:t>
      </w:r>
    </w:p>
    <w:p/>
    <w:p>
      <w:pPr>
        <w:spacing w:after="100"/>
      </w:pPr>
      <w:r>
        <w:t>Esse detalhamento é a principal ferramenta para descobrir por que uma competência foi classificada como compatível ou como diferença para análise.</w:t>
      </w:r>
    </w:p>
    <w:p>
      <w:pPr>
        <w:pStyle w:val="Heading1"/>
      </w:pPr>
      <w:r>
        <w:t>17. Metodologia tradicional</w:t>
      </w:r>
    </w:p>
    <w:p/>
    <w:p>
      <w:pPr>
        <w:spacing w:after="100"/>
      </w:pPr>
      <w:r>
        <w:t>Na metodologia tradicional, a faixa atingida define a alíquota aplicada sobre a base inteira limitada ao teto.</w:t>
      </w:r>
    </w:p>
    <w:p/>
    <w:p>
      <w:pPr>
        <w:spacing w:after="100"/>
      </w:pPr>
      <w:r>
        <w:t>Exemplo conceitual: em uma tabela tradicional de três faixas, se a base atingir a terceira faixa, a contribuição é calculada pela base limitada ao teto multiplicada pela alíquota da terceira faixa.</w:t>
      </w:r>
    </w:p>
    <w:p/>
    <w:p>
      <w:pPr>
        <w:spacing w:after="100"/>
      </w:pPr>
      <w:r>
        <w:t>Isso é diferente da metodologia progressiva. O sistema mantém o campo “metodologia” na tabela histórica justamente para impedir que os dois modelos sejam confundidos.</w:t>
      </w:r>
    </w:p>
    <w:p>
      <w:pPr>
        <w:pStyle w:val="Heading1"/>
      </w:pPr>
      <w:r>
        <w:t>18. Metodologia progressiva</w:t>
      </w:r>
    </w:p>
    <w:p/>
    <w:p>
      <w:pPr>
        <w:spacing w:after="100"/>
      </w:pPr>
      <w:r>
        <w:t>Na metodologia progressiva, a base é repartida entre as faixas. Cada parcela recebe a alíquota correspondente e as contribuições são somadas.</w:t>
      </w:r>
    </w:p>
    <w:p/>
    <w:p>
      <w:pPr>
        <w:spacing w:after="100"/>
      </w:pPr>
      <w:r>
        <w:t>Exemplo conceitual:</w:t>
      </w:r>
    </w:p>
    <w:p>
      <w:pPr>
        <w:spacing w:after="100"/>
      </w:pPr>
      <w:r>
        <w:t>Faixa 1 → parcela × 7,5%</w:t>
      </w:r>
    </w:p>
    <w:p>
      <w:pPr>
        <w:spacing w:after="100"/>
      </w:pPr>
      <w:r>
        <w:t>Faixa 2 → parcela × 9%</w:t>
      </w:r>
    </w:p>
    <w:p>
      <w:pPr>
        <w:spacing w:after="100"/>
      </w:pPr>
      <w:r>
        <w:t>Faixa 3 → parcela × 12%</w:t>
      </w:r>
    </w:p>
    <w:p>
      <w:pPr>
        <w:spacing w:after="100"/>
      </w:pPr>
      <w:r>
        <w:t>Faixa 4 → parcela × 14%</w:t>
      </w:r>
    </w:p>
    <w:p/>
    <w:p>
      <w:pPr>
        <w:spacing w:after="100"/>
      </w:pPr>
      <w:r>
        <w:t>O teto limita a base total considerada. O sistema não aplica simplesmente 14% sobre toda a remuneração quando a competência é progressiva.</w:t>
      </w:r>
    </w:p>
    <w:p>
      <w:pPr>
        <w:pStyle w:val="Heading1"/>
      </w:pPr>
      <w:r>
        <w:t>19. Base histórica 2017–2026</w:t>
      </w:r>
    </w:p>
    <w:p/>
    <w:p>
      <w:pPr>
        <w:spacing w:after="100"/>
      </w:pPr>
      <w:r>
        <w:t>A base cadastrada é específica para Empregado, Empregado Doméstico e Trabalhador Avulso no RGPS.</w:t>
      </w:r>
    </w:p>
    <w:p/>
    <w:p>
      <w:pPr>
        <w:spacing w:after="100"/>
      </w:pPr>
      <w:r>
        <w:t>A estrutura registra vigência, metodologia, faixas, alíquotas, teto e fonte.</w:t>
      </w:r>
    </w:p>
    <w:p/>
    <w:p>
      <w:pPr>
        <w:spacing w:after="100"/>
      </w:pPr>
      <w:r>
        <w:t>2017, 2018 e 2019 utilizam metodologia tradicional.</w:t>
      </w:r>
    </w:p>
    <w:p>
      <w:pPr>
        <w:spacing w:after="100"/>
      </w:pPr>
      <w:r>
        <w:t>Janeiro e fevereiro de 2020 utilizam metodologia tradicional.</w:t>
      </w:r>
    </w:p>
    <w:p>
      <w:pPr>
        <w:spacing w:after="100"/>
      </w:pPr>
      <w:r>
        <w:t>Março de 2020 em diante utiliza metodologia progressiva.</w:t>
      </w:r>
    </w:p>
    <w:p>
      <w:pPr>
        <w:spacing w:after="100"/>
      </w:pPr>
      <w:r>
        <w:t>2023 possui duas vigências cadastradas.</w:t>
      </w:r>
    </w:p>
    <w:p/>
    <w:p>
      <w:pPr>
        <w:spacing w:after="100"/>
      </w:pPr>
      <w:r>
        <w:t>A competência é convertida em período mensal e comparada com as vigências cadastradas para localizar a tabela correta.</w:t>
      </w:r>
    </w:p>
    <w:p>
      <w:r>
        <w:br w:type="page"/>
      </w:r>
    </w:p>
    <w:p>
      <w:pPr>
        <w:pStyle w:val="Heading1"/>
      </w:pPr>
      <w:r>
        <w:t>20. Mudanças dentro do mesmo ano</w:t>
      </w:r>
    </w:p>
    <w:p/>
    <w:p>
      <w:pPr>
        <w:spacing w:after="100"/>
      </w:pPr>
      <w:r>
        <w:t>Não existe a premissa de que cada ano possui necessariamente uma única regra.</w:t>
      </w:r>
    </w:p>
    <w:p/>
    <w:p>
      <w:pPr>
        <w:spacing w:after="100"/>
      </w:pPr>
      <w:r>
        <w:t>2020 é o exemplo mais evidente:</w:t>
      </w:r>
    </w:p>
    <w:p>
      <w:pPr>
        <w:pStyle w:val="ListBullet"/>
        <w:spacing w:after="40"/>
      </w:pPr>
      <w:r>
        <w:t>• 01/2020 e 02/2020 → tradicional;</w:t>
      </w:r>
    </w:p>
    <w:p>
      <w:pPr>
        <w:pStyle w:val="ListBullet"/>
        <w:spacing w:after="40"/>
      </w:pPr>
      <w:r>
        <w:t>• 03/2020 a 12/2020 → progressiva.</w:t>
      </w:r>
    </w:p>
    <w:p/>
    <w:p>
      <w:pPr>
        <w:spacing w:after="100"/>
      </w:pPr>
      <w:r>
        <w:t>2023 também possui duas vigências na base.</w:t>
      </w:r>
    </w:p>
    <w:p/>
    <w:p>
      <w:pPr>
        <w:spacing w:after="100"/>
      </w:pPr>
      <w:r>
        <w:t>Por isso, o resumo anual jamais deve calcular uma tabela única para os doze meses. A tabela é resolvida competência por competência.</w:t>
      </w:r>
    </w:p>
    <w:p>
      <w:pPr>
        <w:pStyle w:val="Heading1"/>
      </w:pPr>
      <w:r>
        <w:t>21. Múltiplos vínculos — por que a progressiva ainda está separada</w:t>
      </w:r>
    </w:p>
    <w:p/>
    <w:p>
      <w:pPr>
        <w:spacing w:after="100"/>
      </w:pPr>
      <w:r>
        <w:t>A classificação PROGRESSIVA está disponível, mas o motor principal ainda sinaliza a situação como em validação quando existe remuneração progressiva.</w:t>
      </w:r>
    </w:p>
    <w:p/>
    <w:p>
      <w:pPr>
        <w:spacing w:after="100"/>
      </w:pPr>
      <w:r>
        <w:t>A razão é metodológica: a aplicação definitiva da progressiva precisa tratar adequadamente a soma das remunerações da competência entre vínculos, o limite máximo e a contribuição já informada/recolhida em cada fonte.</w:t>
      </w:r>
    </w:p>
    <w:p/>
    <w:p>
      <w:pPr>
        <w:spacing w:after="100"/>
      </w:pPr>
      <w:r>
        <w:t>A guia 🔎 Verificação funciona como bancada de testes antes de transformar essa regra em cálculo automático definitivo.</w:t>
      </w:r>
    </w:p>
    <w:p>
      <w:pPr>
        <w:pStyle w:val="Heading1"/>
      </w:pPr>
      <w:r>
        <w:t>22. 🧮 Apuração — o que está implementado</w:t>
      </w:r>
    </w:p>
    <w:p/>
    <w:p>
      <w:pPr>
        <w:spacing w:after="100"/>
      </w:pPr>
      <w:r>
        <w:t>O motor atual calcula as categorias 11% e 20% conforme a lógica da planilha-base.</w:t>
      </w:r>
    </w:p>
    <w:p/>
    <w:p>
      <w:pPr>
        <w:spacing w:after="100"/>
      </w:pPr>
      <w:r>
        <w:t>Para o grupo 11%:</w:t>
      </w:r>
    </w:p>
    <w:p>
      <w:pPr>
        <w:spacing w:after="100"/>
      </w:pPr>
      <w:r>
        <w:t>base máxima = mínimo(remuneração 11%, teto)</w:t>
      </w:r>
    </w:p>
    <w:p>
      <w:pPr>
        <w:spacing w:after="100"/>
      </w:pPr>
      <w:r>
        <w:t>contribuição máxima 11% = base máxima × 11%</w:t>
      </w:r>
    </w:p>
    <w:p/>
    <w:p>
      <w:pPr>
        <w:spacing w:after="100"/>
      </w:pPr>
      <w:r>
        <w:t>Para o grupo 20%:</w:t>
      </w:r>
    </w:p>
    <w:p>
      <w:pPr>
        <w:spacing w:after="100"/>
      </w:pPr>
      <w:r>
        <w:t>saldo do teto = máximo(teto − remuneração 11%, 0)</w:t>
      </w:r>
    </w:p>
    <w:p>
      <w:pPr>
        <w:spacing w:after="100"/>
      </w:pPr>
      <w:r>
        <w:t>base máxima 20% = mínimo(remuneração 20%, saldo)</w:t>
      </w:r>
    </w:p>
    <w:p>
      <w:pPr>
        <w:spacing w:after="100"/>
      </w:pPr>
      <w:r>
        <w:t>contribuição máxima 20% = base máxima 20% × 20%</w:t>
      </w:r>
    </w:p>
    <w:p/>
    <w:p>
      <w:pPr>
        <w:spacing w:after="100"/>
      </w:pPr>
      <w:r>
        <w:t>Depois:</w:t>
      </w:r>
    </w:p>
    <w:p>
      <w:pPr>
        <w:spacing w:after="100"/>
      </w:pPr>
      <w:r>
        <w:t>contribuição máxima total = máxima 11% + máxima 20%</w:t>
      </w:r>
    </w:p>
    <w:p>
      <w:pPr>
        <w:spacing w:after="100"/>
      </w:pPr>
      <w:r>
        <w:t>contribuição acima do teto = contribuição recolhida − contribuição máxima total.</w:t>
      </w:r>
    </w:p>
    <w:p>
      <w:r>
        <w:br w:type="page"/>
      </w:r>
    </w:p>
    <w:p>
      <w:pPr>
        <w:pStyle w:val="Heading1"/>
      </w:pPr>
      <w:r>
        <w:t>23. 🧮 Apuração — classificações pendentes</w:t>
      </w:r>
    </w:p>
    <w:p/>
    <w:p>
      <w:pPr>
        <w:spacing w:after="100"/>
      </w:pPr>
      <w:r>
        <w:t>Se uma competência possui fonte selecionada, mas alguma fonte ainda está como nao_definido, a apuração sinaliza CLASSIFICACAO_PENDENTE.</w:t>
      </w:r>
    </w:p>
    <w:p/>
    <w:p>
      <w:pPr>
        <w:spacing w:after="100"/>
      </w:pPr>
      <w:r>
        <w:t>Se não houver teto cadastrado para a competência, a apuração sinaliza TETO_NAO_CADASTRADO.</w:t>
      </w:r>
    </w:p>
    <w:p/>
    <w:p>
      <w:pPr>
        <w:spacing w:after="100"/>
      </w:pPr>
      <w:r>
        <w:t>Se houver remuneração classificada como progressiva, a apuração atual sinaliza PROGRESSIVA_EM_VALIDACAO.</w:t>
      </w:r>
    </w:p>
    <w:p/>
    <w:p>
      <w:pPr>
        <w:spacing w:after="100"/>
      </w:pPr>
      <w:r>
        <w:t>Esses estados são intencionais: o sistema prefere sinalizar uma condição que exige decisão do usuário a produzir um número aparentemente definitivo com uma regra ainda não integrada.</w:t>
      </w:r>
    </w:p>
    <w:p>
      <w:pPr>
        <w:pStyle w:val="Heading1"/>
      </w:pPr>
      <w:r>
        <w:t>24. 📊 Demonstração horizontal</w:t>
      </w:r>
    </w:p>
    <w:p/>
    <w:p>
      <w:pPr>
        <w:spacing w:after="100"/>
      </w:pPr>
      <w:r>
        <w:t>A demonstração foi inspirada na planilha de referência do projeto.</w:t>
      </w:r>
    </w:p>
    <w:p/>
    <w:p>
      <w:pPr>
        <w:spacing w:after="100"/>
      </w:pPr>
      <w:r>
        <w:t>Para cada fonte selecionada, a aplicação cria duas colunas:</w:t>
      </w:r>
    </w:p>
    <w:p>
      <w:pPr>
        <w:pStyle w:val="ListBullet"/>
        <w:spacing w:after="40"/>
      </w:pPr>
      <w:r>
        <w:t>• Nome da fonte | CNPJ — Remuneração;</w:t>
      </w:r>
    </w:p>
    <w:p>
      <w:pPr>
        <w:pStyle w:val="ListBullet"/>
        <w:spacing w:after="40"/>
      </w:pPr>
      <w:r>
        <w:t>• Nome da fonte | CNPJ — Previdência.</w:t>
      </w:r>
    </w:p>
    <w:p/>
    <w:p>
      <w:pPr>
        <w:spacing w:after="100"/>
      </w:pPr>
      <w:r>
        <w:t>As linhas representam as competências mensais.</w:t>
      </w:r>
    </w:p>
    <w:p/>
    <w:p>
      <w:pPr>
        <w:spacing w:after="100"/>
      </w:pPr>
      <w:r>
        <w:t>A estrutura é dinâmica. Se uma fonte for incluída no agrupamento, passa a participar da demonstração; se for retirada, deixa de participar da camada de demonstração, mas continua no RAW.</w:t>
      </w:r>
    </w:p>
    <w:p>
      <w:pPr>
        <w:pStyle w:val="Heading1"/>
      </w:pPr>
      <w:r>
        <w:t>25. ⬇️ Exportação</w:t>
      </w:r>
    </w:p>
    <w:p/>
    <w:p>
      <w:pPr>
        <w:spacing w:after="100"/>
      </w:pPr>
      <w:r>
        <w:t>A exportação disponibiliza:</w:t>
      </w:r>
    </w:p>
    <w:p>
      <w:pPr>
        <w:pStyle w:val="ListBullet"/>
        <w:spacing w:after="40"/>
      </w:pPr>
      <w:r>
        <w:t>• JSON completo + motor;</w:t>
      </w:r>
    </w:p>
    <w:p>
      <w:pPr>
        <w:pStyle w:val="ListBullet"/>
        <w:spacing w:after="40"/>
      </w:pPr>
      <w:r>
        <w:t>• CSV normalizado;</w:t>
      </w:r>
    </w:p>
    <w:p>
      <w:pPr>
        <w:pStyle w:val="ListBullet"/>
        <w:spacing w:after="40"/>
      </w:pPr>
      <w:r>
        <w:t>• CSV da apuração;</w:t>
      </w:r>
    </w:p>
    <w:p>
      <w:pPr>
        <w:pStyle w:val="ListBullet"/>
        <w:spacing w:after="40"/>
      </w:pPr>
      <w:r>
        <w:t>• JSON RAW somente.</w:t>
      </w:r>
    </w:p>
    <w:p/>
    <w:p>
      <w:pPr>
        <w:spacing w:after="100"/>
      </w:pPr>
      <w:r>
        <w:t>O JSON completo registra também classificações, vínculos incluídos, tetos utilizados, tabelas históricas e validações.</w:t>
      </w:r>
    </w:p>
    <w:p/>
    <w:p>
      <w:pPr>
        <w:spacing w:after="100"/>
      </w:pPr>
      <w:r>
        <w:t>O JSON RAW contém os registros extraídos sem depender da seleção posterior. Isso é importante para auditoria e para futuras versões do motor.</w:t>
      </w:r>
    </w:p>
    <w:p>
      <w:r>
        <w:br w:type="page"/>
      </w:r>
    </w:p>
    <w:p>
      <w:pPr>
        <w:pStyle w:val="Heading1"/>
      </w:pPr>
      <w:r>
        <w:t>26. Validação dos totais da DIRF</w:t>
      </w:r>
    </w:p>
    <w:p/>
    <w:p>
      <w:pPr>
        <w:spacing w:after="100"/>
      </w:pPr>
      <w:r>
        <w:t>A rotina de validação compara, quando possível, a soma dos rendimentos mensais com o total correspondente informado no bloco da DIRF.</w:t>
      </w:r>
    </w:p>
    <w:p/>
    <w:p>
      <w:pPr>
        <w:spacing w:after="100"/>
      </w:pPr>
      <w:r>
        <w:t>Os agrupamentos de validação consideram elementos de origem como arquivo, página, ano, CNPJ, código, fundo/clube e processo.</w:t>
      </w:r>
    </w:p>
    <w:p/>
    <w:p>
      <w:pPr>
        <w:spacing w:after="100"/>
      </w:pPr>
      <w:r>
        <w:t>O objetivo é detectar inconsistências de extração. Uma validação OK não significa que a classificação previdenciária ou o cálculo jurídico esteja correto; significa que a camada de extração passou por aquela verificação de consistência.</w:t>
      </w:r>
    </w:p>
    <w:p>
      <w:pPr>
        <w:pStyle w:val="Heading1"/>
      </w:pPr>
      <w:r>
        <w:t>27. Registro bruto / auditoria</w:t>
      </w:r>
    </w:p>
    <w:p/>
    <w:p>
      <w:pPr>
        <w:spacing w:after="100"/>
      </w:pPr>
      <w:r>
        <w:t>O painel final “Registro bruto / auditoria” apresenta os dados estruturados que alimentam as demais etapas.</w:t>
      </w:r>
    </w:p>
    <w:p/>
    <w:p>
      <w:pPr>
        <w:spacing w:after="100"/>
      </w:pPr>
      <w:r>
        <w:t>É o ponto de retorno quando surgir uma divergência. O procedimento recomendado é:</w:t>
      </w:r>
    </w:p>
    <w:p>
      <w:pPr>
        <w:spacing w:after="100"/>
      </w:pPr>
      <w:r>
        <w:t>1. localizar a competência;</w:t>
      </w:r>
    </w:p>
    <w:p>
      <w:pPr>
        <w:spacing w:after="100"/>
      </w:pPr>
      <w:r>
        <w:t>2. identificar a fonte;</w:t>
      </w:r>
    </w:p>
    <w:p>
      <w:pPr>
        <w:spacing w:after="100"/>
      </w:pPr>
      <w:r>
        <w:t>3. verificar o código;</w:t>
      </w:r>
    </w:p>
    <w:p>
      <w:pPr>
        <w:spacing w:after="100"/>
      </w:pPr>
      <w:r>
        <w:t>4. conferir o registro RAW;</w:t>
      </w:r>
    </w:p>
    <w:p>
      <w:pPr>
        <w:spacing w:after="100"/>
      </w:pPr>
      <w:r>
        <w:t>5. conferir a Previdência Oficial;</w:t>
      </w:r>
    </w:p>
    <w:p>
      <w:pPr>
        <w:spacing w:after="100"/>
      </w:pPr>
      <w:r>
        <w:t>6. conferir a tabela histórica;</w:t>
      </w:r>
    </w:p>
    <w:p>
      <w:pPr>
        <w:spacing w:after="100"/>
      </w:pPr>
      <w:r>
        <w:t>7. somente depois avaliar a regra previdenciária aplicável.</w:t>
      </w:r>
    </w:p>
    <w:p>
      <w:pPr>
        <w:pStyle w:val="Heading1"/>
      </w:pPr>
      <w:r>
        <w:t>28. Exemplo completo de uso</w:t>
      </w:r>
    </w:p>
    <w:p/>
    <w:p>
      <w:pPr>
        <w:spacing w:after="100"/>
      </w:pPr>
      <w:r>
        <w:t>Suponha que uma DIRF contenha dezessete fontes pagadoras.</w:t>
      </w:r>
    </w:p>
    <w:p/>
    <w:p>
      <w:pPr>
        <w:spacing w:after="100"/>
      </w:pPr>
      <w:r>
        <w:t>Primeiro, o agrupamento consolida cada CNPJ em uma fonte. Fontes exclusivamente financeiras ficam fora da seleção inicial; fontes com natureza potencialmente previdenciária são sugeridas.</w:t>
      </w:r>
    </w:p>
    <w:p/>
    <w:p>
      <w:pPr>
        <w:spacing w:after="100"/>
      </w:pPr>
      <w:r>
        <w:t>O usuário confirma seis fontes. A Classificação passa a mostrar somente essas seis.</w:t>
      </w:r>
    </w:p>
    <w:p/>
    <w:p>
      <w:pPr>
        <w:spacing w:after="100"/>
      </w:pPr>
      <w:r>
        <w:t>Uma das fontes é classificada como PROGRESSIVA. Na Verificação, o usuário escolhe 2022 e essa fonte. O sistema carrega automaticamente os meses de 2022 encontrados na DIRF, calcula cada mês pela tabela de 2022 e compara com a Previdência Oficial.</w:t>
      </w:r>
    </w:p>
    <w:p/>
    <w:p>
      <w:pPr>
        <w:spacing w:after="100"/>
      </w:pPr>
      <w:r>
        <w:t>Se fevereiro estiver compatível e março apresentar diferença, o usuário expande março e vê as faixas, bases, alíquotas e valores. A partir daí pode investigar o registro RAW antes de qualquer conclusão.</w:t>
      </w:r>
    </w:p>
    <w:p>
      <w:pPr>
        <w:pStyle w:val="Heading1"/>
      </w:pPr>
      <w:r>
        <w:t>29. Como interpretar uma diferença</w:t>
      </w:r>
    </w:p>
    <w:p/>
    <w:p>
      <w:pPr>
        <w:spacing w:after="100"/>
      </w:pPr>
      <w:r>
        <w:t>Uma diferença entre DIRF e cálculo não deve ser interpretada automaticamente como erro da DIRF ou do sistema.</w:t>
      </w:r>
    </w:p>
    <w:p/>
    <w:p>
      <w:pPr>
        <w:spacing w:after="100"/>
      </w:pPr>
      <w:r>
        <w:t>Possíveis causas a investigar incluem:</w:t>
      </w:r>
    </w:p>
    <w:p>
      <w:pPr>
        <w:pStyle w:val="ListBullet"/>
        <w:spacing w:after="40"/>
      </w:pPr>
      <w:r>
        <w:t>• classificação incorreta da fonte;</w:t>
      </w:r>
    </w:p>
    <w:p>
      <w:pPr>
        <w:pStyle w:val="ListBullet"/>
        <w:spacing w:after="40"/>
      </w:pPr>
      <w:r>
        <w:t>• natureza específica do rendimento;</w:t>
      </w:r>
    </w:p>
    <w:p>
      <w:pPr>
        <w:pStyle w:val="ListBullet"/>
        <w:spacing w:after="40"/>
      </w:pPr>
      <w:r>
        <w:t>• múltiplos vínculos;</w:t>
      </w:r>
    </w:p>
    <w:p>
      <w:pPr>
        <w:pStyle w:val="ListBullet"/>
        <w:spacing w:after="40"/>
      </w:pPr>
      <w:r>
        <w:t>• remuneração que precisa ser tratada conjuntamente;</w:t>
      </w:r>
    </w:p>
    <w:p>
      <w:pPr>
        <w:pStyle w:val="ListBullet"/>
        <w:spacing w:after="40"/>
      </w:pPr>
      <w:r>
        <w:t>• competência ou vigência incorreta;</w:t>
      </w:r>
    </w:p>
    <w:p>
      <w:pPr>
        <w:pStyle w:val="ListBullet"/>
        <w:spacing w:after="40"/>
      </w:pPr>
      <w:r>
        <w:t>• tratamento distinto do 13º;</w:t>
      </w:r>
    </w:p>
    <w:p>
      <w:pPr>
        <w:pStyle w:val="ListBullet"/>
        <w:spacing w:after="40"/>
      </w:pPr>
      <w:r>
        <w:t>• diferença de arredondamento;</w:t>
      </w:r>
    </w:p>
    <w:p>
      <w:pPr>
        <w:pStyle w:val="ListBullet"/>
        <w:spacing w:after="40"/>
      </w:pPr>
      <w:r>
        <w:t>• informação da DIRF que não corresponde à base utilizada no teste;</w:t>
      </w:r>
    </w:p>
    <w:p>
      <w:pPr>
        <w:pStyle w:val="ListBullet"/>
        <w:spacing w:after="40"/>
      </w:pPr>
      <w:r>
        <w:t>• regra previdenciária específica que ainda não esteja implementada.</w:t>
      </w:r>
    </w:p>
    <w:p/>
    <w:p>
      <w:pPr>
        <w:spacing w:after="100"/>
      </w:pPr>
      <w:r>
        <w:t>A função da V1.2.3 é tornar a diferença localizável e auditável.</w:t>
      </w:r>
    </w:p>
    <w:p>
      <w:pPr>
        <w:pStyle w:val="Heading1"/>
      </w:pPr>
      <w:r>
        <w:t>30. 13º salário</w:t>
      </w:r>
    </w:p>
    <w:p/>
    <w:p>
      <w:pPr>
        <w:spacing w:after="100"/>
      </w:pPr>
      <w:r>
        <w:t>Os registros de 13º são mantidos separados dos registros mensais.</w:t>
      </w:r>
    </w:p>
    <w:p/>
    <w:p>
      <w:pPr>
        <w:spacing w:after="100"/>
      </w:pPr>
      <w:r>
        <w:t>Na consulta, o tipo de competência permite distinguir “mensal” de “13º”. A demonstração horizontal utiliza os registros mensais.</w:t>
      </w:r>
    </w:p>
    <w:p/>
    <w:p>
      <w:pPr>
        <w:spacing w:after="100"/>
      </w:pPr>
      <w:r>
        <w:t>Na análise previdenciária, o 13º não deve ser somado automaticamente à remuneração mensal para enquadramento da tabela progressiva. Qualquer tratamento específico deve ser feito na regra correspondente.</w:t>
      </w:r>
    </w:p>
    <w:p>
      <w:pPr>
        <w:pStyle w:val="Heading1"/>
      </w:pPr>
      <w:r>
        <w:t>31. Recomendações de trabalho</w:t>
      </w:r>
    </w:p>
    <w:p/>
    <w:p>
      <w:pPr>
        <w:spacing w:after="100"/>
      </w:pPr>
      <w:r>
        <w:t>Para uma análise profissional, recomenda-se:</w:t>
      </w:r>
    </w:p>
    <w:p>
      <w:pPr>
        <w:pStyle w:val="ListBullet"/>
        <w:spacing w:after="40"/>
      </w:pPr>
      <w:r>
        <w:t>• trabalhar com uma cópia dos PDFs originais;</w:t>
      </w:r>
    </w:p>
    <w:p>
      <w:pPr>
        <w:pStyle w:val="ListBullet"/>
        <w:spacing w:after="40"/>
      </w:pPr>
      <w:r>
        <w:t>• manter o JSON RAW exportado;</w:t>
      </w:r>
    </w:p>
    <w:p>
      <w:pPr>
        <w:pStyle w:val="ListBullet"/>
        <w:spacing w:after="40"/>
      </w:pPr>
      <w:r>
        <w:t>• registrar quais fontes foram incluídas no agrupamento;</w:t>
      </w:r>
    </w:p>
    <w:p>
      <w:pPr>
        <w:pStyle w:val="ListBullet"/>
        <w:spacing w:after="40"/>
      </w:pPr>
      <w:r>
        <w:t>• registrar a classificação atribuída a cada fonte;</w:t>
      </w:r>
    </w:p>
    <w:p>
      <w:pPr>
        <w:pStyle w:val="ListBullet"/>
        <w:spacing w:after="40"/>
      </w:pPr>
      <w:r>
        <w:t>• utilizar a Verificação antes de confiar na progressiva;</w:t>
      </w:r>
    </w:p>
    <w:p>
      <w:pPr>
        <w:pStyle w:val="ListBullet"/>
        <w:spacing w:after="40"/>
      </w:pPr>
      <w:r>
        <w:t>• guardar os resultados com as diferenças encontradas;</w:t>
      </w:r>
    </w:p>
    <w:p>
      <w:pPr>
        <w:pStyle w:val="ListBullet"/>
        <w:spacing w:after="40"/>
      </w:pPr>
      <w:r>
        <w:t>• não interpretar uma diferença isolada sem consultar o registro RAW;</w:t>
      </w:r>
    </w:p>
    <w:p>
      <w:pPr>
        <w:pStyle w:val="ListBullet"/>
        <w:spacing w:after="40"/>
      </w:pPr>
      <w:r>
        <w:t>• não misturar categorias previdenciárias distintas sem regra própria.</w:t>
      </w:r>
    </w:p>
    <w:p>
      <w:pPr>
        <w:pStyle w:val="Heading1"/>
      </w:pPr>
      <w:r>
        <w:t>32. O que a V1.2.3 já faz e o que ainda não faz</w:t>
      </w:r>
    </w:p>
    <w:p/>
    <w:p>
      <w:pPr>
        <w:spacing w:after="100"/>
      </w:pPr>
      <w:r>
        <w:t>Já implementado:</w:t>
      </w:r>
    </w:p>
    <w:p>
      <w:pPr>
        <w:pStyle w:val="ListBullet"/>
        <w:spacing w:after="40"/>
      </w:pPr>
      <w:r>
        <w:t>• extração estruturada;</w:t>
      </w:r>
    </w:p>
    <w:p>
      <w:pPr>
        <w:pStyle w:val="ListBullet"/>
        <w:spacing w:after="40"/>
      </w:pPr>
      <w:r>
        <w:t>• preservação RAW;</w:t>
      </w:r>
    </w:p>
    <w:p>
      <w:pPr>
        <w:pStyle w:val="ListBullet"/>
        <w:spacing w:after="40"/>
      </w:pPr>
      <w:r>
        <w:t>• filtros;</w:t>
      </w:r>
    </w:p>
    <w:p>
      <w:pPr>
        <w:pStyle w:val="ListBullet"/>
        <w:spacing w:after="40"/>
      </w:pPr>
      <w:r>
        <w:t>• agrupamento por fonte/CNPJ;</w:t>
      </w:r>
    </w:p>
    <w:p>
      <w:pPr>
        <w:pStyle w:val="ListBullet"/>
        <w:spacing w:after="40"/>
      </w:pPr>
      <w:r>
        <w:t>• seleção inteligente;</w:t>
      </w:r>
    </w:p>
    <w:p>
      <w:pPr>
        <w:pStyle w:val="ListBullet"/>
        <w:spacing w:after="40"/>
      </w:pPr>
      <w:r>
        <w:t>• classificação 11%, 20% e progressiva;</w:t>
      </w:r>
    </w:p>
    <w:p>
      <w:pPr>
        <w:pStyle w:val="ListBullet"/>
        <w:spacing w:after="40"/>
      </w:pPr>
      <w:r>
        <w:t>• histórico 2017–2026;</w:t>
      </w:r>
    </w:p>
    <w:p>
      <w:pPr>
        <w:pStyle w:val="ListBullet"/>
        <w:spacing w:after="40"/>
      </w:pPr>
      <w:r>
        <w:t>• verificação anual com cálculo mensal;</w:t>
      </w:r>
    </w:p>
    <w:p>
      <w:pPr>
        <w:pStyle w:val="ListBullet"/>
        <w:spacing w:after="40"/>
      </w:pPr>
      <w:r>
        <w:t>• motor 11%/20%;</w:t>
      </w:r>
    </w:p>
    <w:p>
      <w:pPr>
        <w:pStyle w:val="ListBullet"/>
        <w:spacing w:after="40"/>
      </w:pPr>
      <w:r>
        <w:t>• demonstração horizontal;</w:t>
      </w:r>
    </w:p>
    <w:p>
      <w:pPr>
        <w:pStyle w:val="ListBullet"/>
        <w:spacing w:after="40"/>
      </w:pPr>
      <w:r>
        <w:t>• exportações;</w:t>
      </w:r>
    </w:p>
    <w:p>
      <w:pPr>
        <w:pStyle w:val="ListBullet"/>
        <w:spacing w:after="40"/>
      </w:pPr>
      <w:r>
        <w:t>• validação de totais.</w:t>
      </w:r>
    </w:p>
    <w:p/>
    <w:p>
      <w:pPr>
        <w:spacing w:after="100"/>
      </w:pPr>
      <w:r>
        <w:t>Ainda em validação:</w:t>
      </w:r>
    </w:p>
    <w:p>
      <w:pPr>
        <w:pStyle w:val="ListBullet"/>
        <w:spacing w:after="40"/>
      </w:pPr>
      <w:r>
        <w:t>• integração definitiva da progressiva ao motor principal;</w:t>
      </w:r>
    </w:p>
    <w:p>
      <w:pPr>
        <w:pStyle w:val="ListBullet"/>
        <w:spacing w:after="40"/>
      </w:pPr>
      <w:r>
        <w:t>• tratamento completo de múltiplos vínculos na progressiva;</w:t>
      </w:r>
    </w:p>
    <w:p>
      <w:pPr>
        <w:pStyle w:val="ListBullet"/>
        <w:spacing w:after="40"/>
      </w:pPr>
      <w:r>
        <w:t>• regras específicas que dependam de categorias previdenciárias diferentes do escopo atual.</w:t>
      </w:r>
    </w:p>
    <w:p>
      <w:r>
        <w:br w:type="page"/>
      </w:r>
    </w:p>
    <w:p>
      <w:pPr>
        <w:pStyle w:val="Heading1"/>
      </w:pPr>
      <w:r>
        <w:t>33. Glossário</w:t>
      </w:r>
    </w:p>
    <w:p/>
    <w:p>
      <w:pPr>
        <w:spacing w:after="100"/>
      </w:pPr>
      <w:r>
        <w:t>RAW — camada dos registros extraídos, preservada como fonte de auditoria.</w:t>
      </w:r>
    </w:p>
    <w:p>
      <w:pPr>
        <w:spacing w:after="100"/>
      </w:pPr>
      <w:r>
        <w:t>Fonte pagadora/declarante — unidade consolidada pelo CNPJ para a seleção operacional.</w:t>
      </w:r>
    </w:p>
    <w:p>
      <w:pPr>
        <w:spacing w:after="100"/>
      </w:pPr>
      <w:r>
        <w:t>Competência — mês de referência do cálculo, no formato AAAA-MM.</w:t>
      </w:r>
    </w:p>
    <w:p>
      <w:pPr>
        <w:spacing w:after="100"/>
      </w:pPr>
      <w:r>
        <w:t>Ano-calendário — ano usado como nível de navegação e consolidação na verificação anual.</w:t>
      </w:r>
    </w:p>
    <w:p>
      <w:pPr>
        <w:spacing w:after="100"/>
      </w:pPr>
      <w:r>
        <w:t>Código DIRF — código declaratório da natureza do rendimento.</w:t>
      </w:r>
    </w:p>
    <w:p>
      <w:pPr>
        <w:spacing w:after="100"/>
      </w:pPr>
      <w:r>
        <w:t>Alíquota efetiva observada — Previdência Oficial dividida pelo rendimento tributável, usada apenas como diagnóstico.</w:t>
      </w:r>
    </w:p>
    <w:p>
      <w:pPr>
        <w:spacing w:after="100"/>
      </w:pPr>
      <w:r>
        <w:t>Tabela histórica — conjunto de faixas, alíquotas, teto, vigência e metodologia aplicável.</w:t>
      </w:r>
    </w:p>
    <w:p>
      <w:pPr>
        <w:spacing w:after="100"/>
      </w:pPr>
      <w:r>
        <w:t>Metodologia tradicional — faixa atingida define a alíquota aplicada sobre a base inteira limitada ao teto.</w:t>
      </w:r>
    </w:p>
    <w:p>
      <w:pPr>
        <w:spacing w:after="100"/>
      </w:pPr>
      <w:r>
        <w:t>Metodologia progressiva — cada parcela da base é tributada pela alíquota de sua faixa.</w:t>
      </w:r>
    </w:p>
    <w:p>
      <w:pPr>
        <w:spacing w:after="100"/>
      </w:pPr>
      <w:r>
        <w:t>Vínculo operacional — fonte agrupada pelo CNPJ para as etapas do sistema; não constitui, isoladamente, conclusão jurídica.</w:t>
      </w:r>
    </w:p>
    <w:p>
      <w:pPr>
        <w:spacing w:after="100"/>
      </w:pPr>
    </w:p>
    <w:p>
      <w:pPr>
        <w:pStyle w:val="Heading1"/>
      </w:pPr>
      <w:r>
        <w:t>34. Checklist rápido</w:t>
      </w:r>
    </w:p>
    <w:p/>
    <w:p>
      <w:pPr>
        <w:pStyle w:val="ListBullet"/>
        <w:spacing w:after="40"/>
      </w:pPr>
      <w:r>
        <w:t>□ Carreguei todas as DIRFs necessárias.</w:t>
      </w:r>
    </w:p>
    <w:p>
      <w:pPr>
        <w:pStyle w:val="ListBullet"/>
        <w:spacing w:after="40"/>
      </w:pPr>
      <w:r>
        <w:t>□ Conferi os blocos e registros identificados.</w:t>
      </w:r>
    </w:p>
    <w:p>
      <w:pPr>
        <w:pStyle w:val="ListBullet"/>
        <w:spacing w:after="40"/>
      </w:pPr>
      <w:r>
        <w:t>□ Mantive o JSON RAW salvo.</w:t>
      </w:r>
    </w:p>
    <w:p>
      <w:pPr>
        <w:pStyle w:val="ListBullet"/>
        <w:spacing w:after="40"/>
      </w:pPr>
      <w:r>
        <w:t>□ Revisei as fontes sugeridas.</w:t>
      </w:r>
    </w:p>
    <w:p>
      <w:pPr>
        <w:pStyle w:val="ListBullet"/>
        <w:spacing w:after="40"/>
      </w:pPr>
      <w:r>
        <w:t>□ Verifiquei as fontes fora da seleção inicial.</w:t>
      </w:r>
    </w:p>
    <w:p>
      <w:pPr>
        <w:pStyle w:val="ListBullet"/>
        <w:spacing w:after="40"/>
      </w:pPr>
      <w:r>
        <w:t>□ Confirmei as fontes que realmente participarão.</w:t>
      </w:r>
    </w:p>
    <w:p>
      <w:pPr>
        <w:pStyle w:val="ListBullet"/>
        <w:spacing w:after="40"/>
      </w:pPr>
      <w:r>
        <w:t>□ Classifiquei somente as fontes selecionadas.</w:t>
      </w:r>
    </w:p>
    <w:p>
      <w:pPr>
        <w:pStyle w:val="ListBullet"/>
        <w:spacing w:after="40"/>
      </w:pPr>
      <w:r>
        <w:t>□ Testei a progressiva pela guia de Verificação.</w:t>
      </w:r>
    </w:p>
    <w:p>
      <w:pPr>
        <w:pStyle w:val="ListBullet"/>
        <w:spacing w:after="40"/>
      </w:pPr>
      <w:r>
        <w:t>□ Analisei as competências com diferença.</w:t>
      </w:r>
    </w:p>
    <w:p>
      <w:pPr>
        <w:pStyle w:val="ListBullet"/>
        <w:spacing w:after="40"/>
      </w:pPr>
      <w:r>
        <w:t>□ Conferi o RAW antes de interpretar divergências.</w:t>
      </w:r>
    </w:p>
    <w:p>
      <w:pPr>
        <w:pStyle w:val="ListBullet"/>
        <w:spacing w:after="40"/>
      </w:pPr>
      <w:r>
        <w:t>□ Revisei a Apuração.</w:t>
      </w:r>
    </w:p>
    <w:p>
      <w:pPr>
        <w:pStyle w:val="ListBullet"/>
        <w:spacing w:after="40"/>
      </w:pPr>
      <w:r>
        <w:t>□ Conferi a Demonstração horizontal.</w:t>
      </w:r>
    </w:p>
    <w:p>
      <w:pPr>
        <w:pStyle w:val="ListBullet"/>
        <w:spacing w:after="40"/>
      </w:pPr>
      <w:r>
        <w:t>□ ExporteI os resultados e a base RAW.</w:t>
      </w:r>
    </w:p>
    <w:p>
      <w:pPr>
        <w:pStyle w:val="Heading1"/>
      </w:pPr>
      <w:r>
        <w:t>Anexo A — Estrutura lógica resumida</w:t>
      </w:r>
    </w:p>
    <w:p>
      <w:pPr>
        <w:jc w:val="center"/>
      </w:pPr>
      <w:r>
        <w:t>DIRF PDF</w:t>
      </w:r>
    </w:p>
    <w:p>
      <w:pPr>
        <w:jc w:val="center"/>
      </w:pPr>
      <w:r>
        <w:t>↓</w:t>
      </w:r>
    </w:p>
    <w:p>
      <w:pPr>
        <w:jc w:val="center"/>
      </w:pPr>
      <w:r>
        <w:t>Extração e preservação RAW</w:t>
      </w:r>
    </w:p>
    <w:p>
      <w:pPr>
        <w:jc w:val="center"/>
      </w:pPr>
      <w:r>
        <w:t>↓</w:t>
      </w:r>
    </w:p>
    <w:p>
      <w:pPr>
        <w:jc w:val="center"/>
      </w:pPr>
      <w:r>
        <w:t>Filtros / consulta</w:t>
      </w:r>
    </w:p>
    <w:p>
      <w:pPr>
        <w:jc w:val="center"/>
      </w:pPr>
      <w:r>
        <w:t>↓</w:t>
      </w:r>
    </w:p>
    <w:p>
      <w:pPr>
        <w:jc w:val="center"/>
      </w:pPr>
      <w:r>
        <w:t>Agrupamento por fonte/CNPJ</w:t>
      </w:r>
    </w:p>
    <w:p>
      <w:pPr>
        <w:jc w:val="center"/>
      </w:pPr>
      <w:r>
        <w:t>↓</w:t>
      </w:r>
    </w:p>
    <w:p>
      <w:pPr>
        <w:jc w:val="center"/>
      </w:pPr>
      <w:r>
        <w:t>Seleção das fontes</w:t>
      </w:r>
    </w:p>
    <w:p>
      <w:pPr>
        <w:jc w:val="center"/>
      </w:pPr>
      <w:r>
        <w:t>↓</w:t>
      </w:r>
    </w:p>
    <w:p>
      <w:pPr>
        <w:jc w:val="center"/>
      </w:pPr>
      <w:r>
        <w:t>Classificação 11% / 20% / PROGRESSIVA / NÃO DEFINIDA</w:t>
      </w:r>
    </w:p>
    <w:p>
      <w:pPr>
        <w:jc w:val="center"/>
      </w:pPr>
      <w:r>
        <w:t>↓</w:t>
      </w:r>
    </w:p>
    <w:p>
      <w:pPr>
        <w:jc w:val="center"/>
      </w:pPr>
      <w:r>
        <w:t>Verificação histórica por ano + fonte, calculada competência a competência</w:t>
      </w:r>
    </w:p>
    <w:p>
      <w:pPr>
        <w:jc w:val="center"/>
      </w:pPr>
      <w:r>
        <w:t>↓</w:t>
      </w:r>
    </w:p>
    <w:p>
      <w:pPr>
        <w:jc w:val="center"/>
      </w:pPr>
      <w:r>
        <w:t>Apuração 11% / 20% (progressiva ainda em validação)</w:t>
      </w:r>
    </w:p>
    <w:p>
      <w:pPr>
        <w:jc w:val="center"/>
      </w:pPr>
      <w:r>
        <w:t>↓</w:t>
      </w:r>
    </w:p>
    <w:p>
      <w:pPr>
        <w:jc w:val="center"/>
      </w:pPr>
      <w:r>
        <w:t>Demonstração horizontal + Exportação + Auditoria</w:t>
      </w:r>
    </w:p>
    <w:p>
      <w:r>
        <w:br w:type="page"/>
      </w:r>
    </w:p>
    <w:p>
      <w:pPr>
        <w:pStyle w:val="Heading1"/>
      </w:pPr>
      <w:r>
        <w:t>Anexo B — Base histórica cadastrada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Período</w:t>
            </w:r>
          </w:p>
        </w:tc>
        <w:tc>
          <w:tcPr>
            <w:tcW w:type="dxa" w:w="2040"/>
          </w:tcPr>
          <w:p>
            <w:r>
              <w:t>Metodologia</w:t>
            </w:r>
          </w:p>
        </w:tc>
        <w:tc>
          <w:tcPr>
            <w:tcW w:type="dxa" w:w="2040"/>
          </w:tcPr>
          <w:p>
            <w:r>
              <w:t>Faixas</w:t>
            </w:r>
          </w:p>
        </w:tc>
        <w:tc>
          <w:tcPr>
            <w:tcW w:type="dxa" w:w="2040"/>
          </w:tcPr>
          <w:p>
            <w:r>
              <w:t>Teto</w:t>
            </w:r>
          </w:p>
        </w:tc>
        <w:tc>
          <w:tcPr>
            <w:tcW w:type="dxa" w:w="2040"/>
          </w:tcPr>
          <w:p>
            <w:r>
              <w:t>Observação</w:t>
            </w:r>
          </w:p>
        </w:tc>
      </w:tr>
      <w:tr>
        <w:tc>
          <w:tcPr>
            <w:tcW w:type="dxa" w:w="2040"/>
            <w:vAlign w:val="center"/>
          </w:tcPr>
          <w:p>
            <w:r>
              <w:t>2017</w:t>
            </w:r>
          </w:p>
        </w:tc>
        <w:tc>
          <w:tcPr>
            <w:tcW w:type="dxa" w:w="2040"/>
            <w:vAlign w:val="center"/>
          </w:tcPr>
          <w:p>
            <w:r>
              <w:t>Tradicional</w:t>
            </w:r>
          </w:p>
        </w:tc>
        <w:tc>
          <w:tcPr>
            <w:tcW w:type="dxa" w:w="2040"/>
            <w:vAlign w:val="center"/>
          </w:tcPr>
          <w:p>
            <w:r>
              <w:t>8% / 9% / 11%</w:t>
            </w:r>
          </w:p>
        </w:tc>
        <w:tc>
          <w:tcPr>
            <w:tcW w:type="dxa" w:w="2040"/>
            <w:vAlign w:val="center"/>
          </w:tcPr>
          <w:p>
            <w:r>
              <w:t>R$ 5.531,31</w:t>
            </w:r>
          </w:p>
        </w:tc>
        <w:tc>
          <w:tcPr>
            <w:tcW w:type="dxa" w:w="2040"/>
            <w:vAlign w:val="center"/>
          </w:tcPr>
          <w:p>
            <w:r>
              <w:t>Empregado/doméstico/avulso</w:t>
            </w:r>
          </w:p>
        </w:tc>
      </w:tr>
      <w:tr>
        <w:tc>
          <w:tcPr>
            <w:tcW w:type="dxa" w:w="2040"/>
            <w:vAlign w:val="center"/>
          </w:tcPr>
          <w:p>
            <w:r>
              <w:t>2018</w:t>
            </w:r>
          </w:p>
        </w:tc>
        <w:tc>
          <w:tcPr>
            <w:tcW w:type="dxa" w:w="2040"/>
            <w:vAlign w:val="center"/>
          </w:tcPr>
          <w:p>
            <w:r>
              <w:t>Tradicional</w:t>
            </w:r>
          </w:p>
        </w:tc>
        <w:tc>
          <w:tcPr>
            <w:tcW w:type="dxa" w:w="2040"/>
            <w:vAlign w:val="center"/>
          </w:tcPr>
          <w:p>
            <w:r>
              <w:t>8% / 9% / 11%</w:t>
            </w:r>
          </w:p>
        </w:tc>
        <w:tc>
          <w:tcPr>
            <w:tcW w:type="dxa" w:w="2040"/>
            <w:vAlign w:val="center"/>
          </w:tcPr>
          <w:p>
            <w:r>
              <w:t>R$ 5.645,80</w:t>
            </w:r>
          </w:p>
        </w:tc>
        <w:tc>
          <w:tcPr>
            <w:tcW w:type="dxa" w:w="2040"/>
            <w:vAlign w:val="center"/>
          </w:tcPr>
          <w:p>
            <w:r>
              <w:t>Empregado/doméstico/avulso</w:t>
            </w:r>
          </w:p>
        </w:tc>
      </w:tr>
      <w:tr>
        <w:tc>
          <w:tcPr>
            <w:tcW w:type="dxa" w:w="2040"/>
            <w:vAlign w:val="center"/>
          </w:tcPr>
          <w:p>
            <w:r>
              <w:t>2019</w:t>
            </w:r>
          </w:p>
        </w:tc>
        <w:tc>
          <w:tcPr>
            <w:tcW w:type="dxa" w:w="2040"/>
            <w:vAlign w:val="center"/>
          </w:tcPr>
          <w:p>
            <w:r>
              <w:t>Tradicional</w:t>
            </w:r>
          </w:p>
        </w:tc>
        <w:tc>
          <w:tcPr>
            <w:tcW w:type="dxa" w:w="2040"/>
            <w:vAlign w:val="center"/>
          </w:tcPr>
          <w:p>
            <w:r>
              <w:t>8% / 9% / 11%</w:t>
            </w:r>
          </w:p>
        </w:tc>
        <w:tc>
          <w:tcPr>
            <w:tcW w:type="dxa" w:w="2040"/>
            <w:vAlign w:val="center"/>
          </w:tcPr>
          <w:p>
            <w:r>
              <w:t>R$ 5.839,45</w:t>
            </w:r>
          </w:p>
        </w:tc>
        <w:tc>
          <w:tcPr>
            <w:tcW w:type="dxa" w:w="2040"/>
            <w:vAlign w:val="center"/>
          </w:tcPr>
          <w:p>
            <w:r>
              <w:t>Empregado/doméstico/avulso</w:t>
            </w:r>
          </w:p>
        </w:tc>
      </w:tr>
      <w:tr>
        <w:tc>
          <w:tcPr>
            <w:tcW w:type="dxa" w:w="2040"/>
            <w:vAlign w:val="center"/>
          </w:tcPr>
          <w:p>
            <w:r>
              <w:t>Jan–Fev/2020</w:t>
            </w:r>
          </w:p>
        </w:tc>
        <w:tc>
          <w:tcPr>
            <w:tcW w:type="dxa" w:w="2040"/>
            <w:vAlign w:val="center"/>
          </w:tcPr>
          <w:p>
            <w:r>
              <w:t>Tradicional</w:t>
            </w:r>
          </w:p>
        </w:tc>
        <w:tc>
          <w:tcPr>
            <w:tcW w:type="dxa" w:w="2040"/>
            <w:vAlign w:val="center"/>
          </w:tcPr>
          <w:p>
            <w:r>
              <w:t>8% / 9% / 11%</w:t>
            </w:r>
          </w:p>
        </w:tc>
        <w:tc>
          <w:tcPr>
            <w:tcW w:type="dxa" w:w="2040"/>
            <w:vAlign w:val="center"/>
          </w:tcPr>
          <w:p>
            <w:r>
              <w:t>R$ 6.101,06</w:t>
            </w:r>
          </w:p>
        </w:tc>
        <w:tc>
          <w:tcPr>
            <w:tcW w:type="dxa" w:w="2040"/>
            <w:vAlign w:val="center"/>
          </w:tcPr>
          <w:p>
            <w:r>
              <w:t>Antes da mudança progressiva</w:t>
            </w:r>
          </w:p>
        </w:tc>
      </w:tr>
      <w:tr>
        <w:tc>
          <w:tcPr>
            <w:tcW w:type="dxa" w:w="2040"/>
            <w:vAlign w:val="center"/>
          </w:tcPr>
          <w:p>
            <w:r>
              <w:t>Mar–Dez/2020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R$ 6.101,06</w:t>
            </w:r>
          </w:p>
        </w:tc>
        <w:tc>
          <w:tcPr>
            <w:tcW w:type="dxa" w:w="2040"/>
            <w:vAlign w:val="center"/>
          </w:tcPr>
          <w:p>
            <w:r>
              <w:t>Tabela progressiva</w:t>
            </w:r>
          </w:p>
        </w:tc>
      </w:tr>
      <w:tr>
        <w:tc>
          <w:tcPr>
            <w:tcW w:type="dxa" w:w="2040"/>
            <w:vAlign w:val="center"/>
          </w:tcPr>
          <w:p>
            <w:r>
              <w:t>2021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R$ 6.433,57</w:t>
            </w:r>
          </w:p>
        </w:tc>
        <w:tc>
          <w:tcPr>
            <w:tcW w:type="dxa" w:w="2040"/>
            <w:vAlign w:val="center"/>
          </w:tcPr>
          <w:p>
            <w:r>
              <w:t>Tabela histórica</w:t>
            </w:r>
          </w:p>
        </w:tc>
      </w:tr>
      <w:tr>
        <w:tc>
          <w:tcPr>
            <w:tcW w:type="dxa" w:w="2040"/>
            <w:vAlign w:val="center"/>
          </w:tcPr>
          <w:p>
            <w:r>
              <w:t>2022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R$ 7.087,22</w:t>
            </w:r>
          </w:p>
        </w:tc>
        <w:tc>
          <w:tcPr>
            <w:tcW w:type="dxa" w:w="2040"/>
            <w:vAlign w:val="center"/>
          </w:tcPr>
          <w:p>
            <w:r>
              <w:t>Tabela histórica</w:t>
            </w:r>
          </w:p>
        </w:tc>
      </w:tr>
      <w:tr>
        <w:tc>
          <w:tcPr>
            <w:tcW w:type="dxa" w:w="2040"/>
            <w:vAlign w:val="center"/>
          </w:tcPr>
          <w:p>
            <w:r>
              <w:t>Jan–Abr/2023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R$ 7.507,49</w:t>
            </w:r>
          </w:p>
        </w:tc>
        <w:tc>
          <w:tcPr>
            <w:tcW w:type="dxa" w:w="2040"/>
            <w:vAlign w:val="center"/>
          </w:tcPr>
          <w:p>
            <w:r>
              <w:t>Vigência própria</w:t>
            </w:r>
          </w:p>
        </w:tc>
      </w:tr>
      <w:tr>
        <w:tc>
          <w:tcPr>
            <w:tcW w:type="dxa" w:w="2040"/>
            <w:vAlign w:val="center"/>
          </w:tcPr>
          <w:p>
            <w:r>
              <w:t>Mai–Dez/2023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R$ 7.507,49</w:t>
            </w:r>
          </w:p>
        </w:tc>
        <w:tc>
          <w:tcPr>
            <w:tcW w:type="dxa" w:w="2040"/>
            <w:vAlign w:val="center"/>
          </w:tcPr>
          <w:p>
            <w:r>
              <w:t>Vigência própria</w:t>
            </w:r>
          </w:p>
        </w:tc>
      </w:tr>
      <w:tr>
        <w:tc>
          <w:tcPr>
            <w:tcW w:type="dxa" w:w="2040"/>
            <w:vAlign w:val="center"/>
          </w:tcPr>
          <w:p>
            <w:r>
              <w:t>2024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R$ 7.786,02</w:t>
            </w:r>
          </w:p>
        </w:tc>
        <w:tc>
          <w:tcPr>
            <w:tcW w:type="dxa" w:w="2040"/>
            <w:vAlign w:val="center"/>
          </w:tcPr>
          <w:p>
            <w:r>
              <w:t>Tabela histórica</w:t>
            </w:r>
          </w:p>
        </w:tc>
      </w:tr>
      <w:tr>
        <w:tc>
          <w:tcPr>
            <w:tcW w:type="dxa" w:w="2040"/>
            <w:vAlign w:val="center"/>
          </w:tcPr>
          <w:p>
            <w:r>
              <w:t>2025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R$ 8.157,41</w:t>
            </w:r>
          </w:p>
        </w:tc>
        <w:tc>
          <w:tcPr>
            <w:tcW w:type="dxa" w:w="2040"/>
            <w:vAlign w:val="center"/>
          </w:tcPr>
          <w:p>
            <w:r>
              <w:t>Tabela histórica</w:t>
            </w:r>
          </w:p>
        </w:tc>
      </w:tr>
      <w:tr>
        <w:tc>
          <w:tcPr>
            <w:tcW w:type="dxa" w:w="2040"/>
            <w:vAlign w:val="center"/>
          </w:tcPr>
          <w:p>
            <w:r>
              <w:t>2026</w:t>
            </w:r>
          </w:p>
        </w:tc>
        <w:tc>
          <w:tcPr>
            <w:tcW w:type="dxa" w:w="2040"/>
            <w:vAlign w:val="center"/>
          </w:tcPr>
          <w:p>
            <w:r>
              <w:t>Progressiva</w:t>
            </w:r>
          </w:p>
        </w:tc>
        <w:tc>
          <w:tcPr>
            <w:tcW w:type="dxa" w:w="2040"/>
            <w:vAlign w:val="center"/>
          </w:tcPr>
          <w:p>
            <w:r>
              <w:t>7,5% / 9% / 12% / 14%</w:t>
            </w:r>
          </w:p>
        </w:tc>
        <w:tc>
          <w:tcPr>
            <w:tcW w:type="dxa" w:w="2040"/>
            <w:vAlign w:val="center"/>
          </w:tcPr>
          <w:p>
            <w:r>
              <w:t>R$ 8.475,55</w:t>
            </w:r>
          </w:p>
        </w:tc>
        <w:tc>
          <w:tcPr>
            <w:tcW w:type="dxa" w:w="2040"/>
            <w:vAlign w:val="center"/>
          </w:tcPr>
          <w:p>
            <w:r>
              <w:t>Tabela histórica</w:t>
            </w:r>
          </w:p>
        </w:tc>
      </w:tr>
    </w:tbl>
    <w:p/>
    <w:p>
      <w:r>
        <w:t>Fonte de referência histórica: página “Tabela de contribuição – histórico” do INSS fornecida para o projeto. O documento oficial contém as tabelas de 2017, 2018, 2019 e janeiro–fevereiro de 2020, entre outras.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