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Manual do Extrator DIRF + Motor Previdenciário — V1.2.5</w:t>
      </w:r>
    </w:p>
    <w:p>
      <w:pPr>
        <w:jc w:val="center"/>
      </w:pPr>
      <w:r>
        <w:rPr>
          <w:i/>
          <w:sz w:val="22"/>
        </w:rPr>
        <w:t>Manual detalhado de uso, mecânica das guias, verificação histórica e exportação</w:t>
      </w:r>
    </w:p>
    <w:p>
      <w:r>
        <w:t>Versão: 1.2.5</w:t>
      </w:r>
    </w:p>
    <w:p>
      <w:r>
        <w:t>Atualização: histórico selecionável por todos os anos, intervalo ou ano; cópia explícita da tabela para Excel; consolidação por competência; preservação integral do detalhamento por competência.</w:t>
      </w:r>
    </w:p>
    <w:p>
      <w:pPr>
        <w:pStyle w:val="Heading1"/>
      </w:pPr>
      <w:r>
        <w:t>1. Visão geral do sistema</w:t>
      </w:r>
    </w:p>
    <w:p>
      <w:r>
        <w:t>O sistema recebe arquivos PDF de DIRF, extrai os registros estruturados e preserva a base RAW. A partir dessa base, o usuário pode filtrar, agrupar fontes pagadoras, classificar a natureza previdenciária, verificar tabelas históricas e executar a apuração disponível.</w:t>
      </w:r>
    </w:p>
    <w:p>
      <w:r>
        <w:t>Arquitetura conceitual: PDF DIRF → extração → base estruturada/RAW → agrupamento de fontes → classificação → verificação histórica → apuração → demonstração → exportação.</w:t>
      </w:r>
    </w:p>
    <w:p>
      <w:r>
        <w:t>A extração e a validação da base RAW são independentes das telas de análise. Uma exclusão no agrupamento não apaga o dado extraído.</w:t>
      </w:r>
    </w:p>
    <w:p>
      <w:pPr>
        <w:pStyle w:val="Heading1"/>
      </w:pPr>
      <w:r>
        <w:t>2. Fluxo recomendado de trabalho</w:t>
      </w:r>
    </w:p>
    <w:p>
      <w:r>
        <w:t>1) Carregar a DIRF em PDF. 2) Conferir as declarações identificadas. 3) Ir ao Agrupamento de vínculos/fontes pagadoras. 4) Manter selecionadas as fontes relevantes para a análise previdenciária. 5) Classificar as fontes como 11, 20, PROGRESSIVA ou não definida. 6) Usar a Verificação para conferir a tabela histórica contra os valores da DIRF. 7) Depois da validação, utilizar a Apuração. 8) Conferir a Demonstração e exportar os resultados.</w:t>
      </w:r>
    </w:p>
    <w:p>
      <w:r>
        <w:t>Essa sequência separa descoberta, classificação, validação e cálculo. A guia Verificação é uma bancada independente: ela não altera o motor principal.</w:t>
      </w:r>
    </w:p>
    <w:p>
      <w:pPr>
        <w:pStyle w:val="Heading1"/>
      </w:pPr>
      <w:r>
        <w:t>3. 📄 Extração e filtros</w:t>
      </w:r>
    </w:p>
    <w:p>
      <w:r>
        <w:t>A primeira guia apresenta as declarações identificadas e a consulta estruturada para Excel.</w:t>
      </w:r>
    </w:p>
    <w:p>
      <w:r>
        <w:t>Os filtros disponíveis incluem Ano, Declarante, CNPJ, Código DIRF, Tipo, Grupo previdenciário e Competência. A competência é apresentada na interface no padrão brasileiro MM/AAAA, por exemplo 01/2020.</w:t>
      </w:r>
    </w:p>
    <w:p>
      <w:r>
        <w:t>O JSON RAW continua preservando os registros completos, mesmo quando o usuário filtra a tela ou exclui uma fonte do agrupamento.</w:t>
      </w:r>
    </w:p>
    <w:p>
      <w:r>
        <w:t>O botão “📋 COPIAR PARA EXCEL” copia a tabela filtrada com cabeçalhos e valores em formato adequado para colar diretamente no Excel.</w:t>
      </w:r>
    </w:p>
    <w:p>
      <w:pPr>
        <w:pStyle w:val="Heading1"/>
      </w:pPr>
      <w:r>
        <w:t>4. 🔗 Agrupamento de vínculos / fontes pagadoras</w:t>
      </w:r>
    </w:p>
    <w:p>
      <w:r>
        <w:t>A identificação principal na interface é o nome da fonte pagadora. O CNPJ continua visível como dado de conferência, mas deixa de ser a única forma prática de identificação.</w:t>
      </w:r>
    </w:p>
    <w:p>
      <w:r>
        <w:t>O agrupamento é operacional: marcar uma fonte significa permitir que ela participe das etapas previdenciárias seguintes; não significa, sozinho, uma conclusão jurídica sobre o vínculo.</w:t>
      </w:r>
    </w:p>
    <w:p>
      <w:r>
        <w:t>Fontes identificadas pelos códigos DIRF 5706, 5557, 6800, 6813 e 8053 ficam desmarcadas por padrão por serem códigos associados a rendimentos financeiros/investimentos. Fontes sem remuneração e sem Previdência Oficial mensal também ficam fora da seleção inicial.</w:t>
      </w:r>
    </w:p>
    <w:p>
      <w:r>
        <w:t>O botão “Selecionar sugeridas” recupera as fontes consideradas potencialmente relevantes. “Incluir todas” permite ao usuário substituir a seleção sugerida. “Limpar seleção” remove a seleção inicial.</w:t>
      </w:r>
    </w:p>
    <w:p>
      <w:r>
        <w:t>A seção “Outras fontes” mantém visíveis as fontes que não entraram na seleção inicial. Isso permite revisar manualmente a decisão sem perder informação.</w:t>
      </w:r>
    </w:p>
    <w:p>
      <w:pPr>
        <w:pStyle w:val="Heading1"/>
      </w:pPr>
      <w:r>
        <w:t>5. 🧩 Classificação previdenciária</w:t>
      </w:r>
    </w:p>
    <w:p>
      <w:r>
        <w:t>A classificação é feita por fonte/vínculo e permanece durante a sessão.</w:t>
      </w:r>
    </w:p>
    <w:p>
      <w:r>
        <w:t>As categorias disponíveis são 11, 20, PROGRESSIVA e não definida. A alíquota efetiva observada nos dados da DIRF é apenas um indicador diagnóstico; ela não deve ser usada automaticamente como alíquota legal.</w:t>
      </w:r>
    </w:p>
    <w:p>
      <w:r>
        <w:t>11 e 20 alimentam o motor principal conforme a lógica implementada. PROGRESSIVA identifica a fonte para a conferência da tabela histórica e permanece separada do cálculo principal enquanto a validação não tiver sido concluída.</w:t>
      </w:r>
    </w:p>
    <w:p>
      <w:r>
        <w:t>“não definida” evita uma apuração silenciosa: a fonte não deve ser tratada automaticamente como uma categoria previdenciária.</w:t>
      </w:r>
    </w:p>
    <w:p>
      <w:pPr>
        <w:pStyle w:val="Heading1"/>
      </w:pPr>
      <w:r>
        <w:t>6. 🔎 Verificação da Alíquota Previdenciária</w:t>
      </w:r>
    </w:p>
    <w:p>
      <w:r>
        <w:t>Esta guia é uma bancada independente para conferir as tabelas históricas contra a Previdência Oficial informada na DIRF.</w:t>
      </w:r>
    </w:p>
    <w:p>
      <w:r>
        <w:t>A V1.2.5 permite três formas de navegação: “Todos os anos disponíveis”, “Intervalo de anos” ou “Um ano”. O período escolhido é apenas uma forma de selecionar o histórico; o cálculo continua sendo realizado competência a competência.</w:t>
      </w:r>
    </w:p>
    <w:p>
      <w:r>
        <w:t>Depois da escolha da fonte, o sistema carrega automaticamente as competências mensais encontradas dentro do período. Registros da mesma fonte e da mesma competência são consolidados antes da verificação, evitando duplicação quando houver mais de um registro/código no mesmo mês.</w:t>
      </w:r>
    </w:p>
    <w:p>
      <w:r>
        <w:t>Exemplo: selecionar uma fonte e o intervalo 2020–2025 permite analisar todas as competências mensais encontradas nesse período, em vez de obrigar o usuário a trocar o ano manualmente.</w:t>
      </w:r>
    </w:p>
    <w:p>
      <w:pPr>
        <w:pStyle w:val="Heading1"/>
      </w:pPr>
      <w:r>
        <w:t>7. Tabelas históricas e metodologia</w:t>
      </w:r>
    </w:p>
    <w:p>
      <w:r>
        <w:t>A tabela histórica cadastrada cobre 2017 a 2026.</w:t>
      </w:r>
    </w:p>
    <w:p>
      <w:r>
        <w:t>2017, 2018 e 2019 utilizam a metodologia tradicional. Janeiro e fevereiro de 2020 também utilizam a metodologia tradicional. A partir de março de 2020 entra a metodologia progressiva.</w:t>
      </w:r>
    </w:p>
    <w:p>
      <w:r>
        <w:t>O sistema respeita mudanças de vigência dentro do mesmo ano, de modo que uma competência identifica sua própria tabela e metodologia.</w:t>
      </w:r>
    </w:p>
    <w:p>
      <w:r>
        <w:t>O 13º permanece separado da remuneração mensal para fins de aplicação das faixas.</w:t>
      </w:r>
    </w:p>
    <w:p>
      <w:r>
        <w:t>A guia exibe a identificação da tabela e a fonte registrada. A tabela histórica deve ser tratada como componente jurídico-técnico do sistema e, antes de incorporar novas regras ao motor principal, deve ser validada com dados reais.</w:t>
      </w:r>
    </w:p>
    <w:p>
      <w:pPr>
        <w:pStyle w:val="Heading1"/>
      </w:pPr>
      <w:r>
        <w:t>8. Tolerância e classificação do resultado</w:t>
      </w:r>
    </w:p>
    <w:p>
      <w:r>
        <w:t>A tolerância padrão é R$ 0,01. O usuário pode ativar “Usar tolerância personalizada” e informar outro valor, inclusive com três casas decimais.</w:t>
      </w:r>
    </w:p>
    <w:p>
      <w:r>
        <w:t>A comparação utiliza a diferença interna antes do arredondamento visual. Portanto, uma diferença pequena pode ser exibida como R$ 0,01, mas o status é decidido pela diferença interna e pela tolerância configurada.</w:t>
      </w:r>
    </w:p>
    <w:p>
      <w:r>
        <w:t>O sistema registra se a tolerância usada foi “SISTEMA — PADRÃO” ou “USUÁRIO”. A tolerância altera somente o status de compatibilidade; não altera a contribuição calculada.</w:t>
      </w:r>
    </w:p>
    <w:p>
      <w:r>
        <w:t>Status: COMPATÍVEL quando a diferença está dentro da tolerância; DIFERENÇA PARA ANÁLISE quando ultrapassa a tolerância; SEM COMPARAÇÃO quando não há Previdência Oficial para confronto; TABELA NÃO CADASTRADA quando não existe tabela aplicável cadastrada.</w:t>
      </w:r>
    </w:p>
    <w:p>
      <w:pPr>
        <w:pStyle w:val="Heading1"/>
      </w:pPr>
      <w:r>
        <w:t>9. Resumo histórico</w:t>
      </w:r>
    </w:p>
    <w:p>
      <w:r>
        <w:t>A V1.2.5 apresenta um resumo consolidado da fonte para o período selecionado: remuneração, Previdência DIRF, contribuição calculada, diferença e quantidade de competências em cada status.</w:t>
      </w:r>
    </w:p>
    <w:p>
      <w:r>
        <w:t>A competência é exibida no padrão MM/AAAA, por exemplo 01/2020, 02/2020 e 03/2020.</w:t>
      </w:r>
    </w:p>
    <w:p>
      <w:r>
        <w:t>A tabela consolidada pode ser copiada por meio do botão explícito “📋 COPIAR PARA EXCEL”, com cabeçalho e todos os valores apresentados. O CSV técnico continua disponível pelos recursos de exportação.</w:t>
      </w:r>
    </w:p>
    <w:p>
      <w:pPr>
        <w:pStyle w:val="Heading1"/>
      </w:pPr>
      <w:r>
        <w:t>10. ⭐ Detalhamento por competência — elemento preservado</w:t>
      </w:r>
    </w:p>
    <w:p>
      <w:r>
        <w:t>O “Detalhamento por competência” é mantido como parte essencial da interface e não deve ser removido ou substituído nas versões seguintes.</w:t>
      </w:r>
    </w:p>
    <w:p>
      <w:r>
        <w:t>Cada competência aparece em uma linha expansível, inicialmente recolhida, contendo indicador de status, competência MM/AAAA, remuneração e contribuição calculada.</w:t>
      </w:r>
    </w:p>
    <w:p>
      <w:r>
        <w:t>Ao abrir uma competência, o usuário encontra metodologia, identificação da tabela, teto, fonte registrada, critério de tolerância, diferença interna e, quando aplicável, a comparação com a Previdência DIRF.</w:t>
      </w:r>
    </w:p>
    <w:p>
      <w:r>
        <w:t>Nas verificações progressivas, a abertura também apresenta as faixas: limite, alíquota, base na faixa e contribuição.</w:t>
      </w:r>
    </w:p>
    <w:p>
      <w:r>
        <w:t>A finalidade é permitir auditoria mês a mês sem transformar a tela em uma lista excessivamente longa. O histórico consolidado fica acima e o detalhamento permanece abaixo.</w:t>
      </w:r>
    </w:p>
    <w:p>
      <w:pPr>
        <w:pStyle w:val="Heading1"/>
      </w:pPr>
      <w:r>
        <w:t>11. 🧮 Apuração</w:t>
      </w:r>
    </w:p>
    <w:p>
      <w:r>
        <w:t>A apuração principal utiliza as fontes selecionadas e suas classificações.</w:t>
      </w:r>
    </w:p>
    <w:p>
      <w:r>
        <w:t>Na versão atual, a lógica operacional consolidada para 11 e 20 segue a estrutura da planilha-base: identifica a remuneração dos grupos, aplica o teto mensal e calcula a contribuição máxima correspondente.</w:t>
      </w:r>
    </w:p>
    <w:p>
      <w:r>
        <w:t>Para 11%: base11 = menor entre a remuneração do grupo 11 e o teto; contribuição máxima 11 = base11 × 11%.</w:t>
      </w:r>
    </w:p>
    <w:p>
      <w:r>
        <w:t>Para 20%: saldo do teto = máximo entre teto − remuneração do grupo 11 e zero; base20 = menor entre remuneração do grupo 20 e esse saldo; contribuição máxima 20 = base20 × 20%.</w:t>
      </w:r>
    </w:p>
    <w:p>
      <w:r>
        <w:t>Contribuição máxima total = máxima 11 + máxima 20. O valor acima do teto é confrontado com as contribuições efetivamente informadas.</w:t>
      </w:r>
    </w:p>
    <w:p>
      <w:r>
        <w:t>Fontes PROGRESSIVA permanecem identificadas para validação e não devem ser tratadas como uma alíquota fixa dentro dessa lógica enquanto a incorporação definitiva não for aprovada.</w:t>
      </w:r>
    </w:p>
    <w:p>
      <w:pPr>
        <w:pStyle w:val="Heading1"/>
      </w:pPr>
      <w:r>
        <w:t>12. 📊 Demonstração</w:t>
      </w:r>
    </w:p>
    <w:p>
      <w:r>
        <w:t>A Demonstração organiza os vínculos selecionados em uma visão horizontal, adequada à conferência semelhante à planilha de referência.</w:t>
      </w:r>
    </w:p>
    <w:p>
      <w:r>
        <w:t>Cada fonte selecionada pode gerar colunas de remuneração e Previdência, permitindo visualizar as competências lado a lado com os totais e limites calculados.</w:t>
      </w:r>
    </w:p>
    <w:p>
      <w:r>
        <w:t>A seleção de fontes continua sendo operacional e dinâmica; o sistema não elimina dados da base RAW.</w:t>
      </w:r>
    </w:p>
    <w:p>
      <w:pPr>
        <w:pStyle w:val="Heading1"/>
      </w:pPr>
      <w:r>
        <w:t>13. ⬇️ Exportação</w:t>
      </w:r>
    </w:p>
    <w:p>
      <w:r>
        <w:t>A exportação preserva a separação entre dados brutos e resultados tratados.</w:t>
      </w:r>
    </w:p>
    <w:p>
      <w:r>
        <w:t>Os recursos incluem JSON completo/RAW, dados normalizados e resultados da apuração, conforme os recursos disponíveis na versão.</w:t>
      </w:r>
    </w:p>
    <w:p>
      <w:r>
        <w:t>O JSON é o formato preferencial para continuidade do projeto, pois permite manter os campos estruturados para o futuro motor previdenciário.</w:t>
      </w:r>
    </w:p>
    <w:p>
      <w:pPr>
        <w:pStyle w:val="Heading1"/>
      </w:pPr>
      <w:r>
        <w:t>14. Auditoria e interpretação</w:t>
      </w:r>
    </w:p>
    <w:p>
      <w:r>
        <w:t>Uma divergência entre DIRF e cálculo não deve ser interpretada automaticamente como erro. Ela pode decorrer de arredondamento, múltiplos vínculos, natureza da fonte, regra específica da competência ou informação incompleta.</w:t>
      </w:r>
    </w:p>
    <w:p>
      <w:r>
        <w:t>A diferença interna deve ser preservada para auditoria. A visualização em padrão brasileiro não deve destruir a precisão usada pelo cálculo.</w:t>
      </w:r>
    </w:p>
    <w:p>
      <w:r>
        <w:t>A seleção ou desmarcação de uma fonte no agrupamento não altera a extração RAW.</w:t>
      </w:r>
    </w:p>
    <w:p>
      <w:pPr>
        <w:pStyle w:val="Heading1"/>
      </w:pPr>
      <w:r>
        <w:t>15. Padrão de apresentação brasileiro</w:t>
      </w:r>
    </w:p>
    <w:p>
      <w:r>
        <w:t>Competências: MM/AAAA — exemplo 01/2020.</w:t>
      </w:r>
    </w:p>
    <w:p>
      <w:r>
        <w:t>Datas completas: DD/MM/AAAA.</w:t>
      </w:r>
    </w:p>
    <w:p>
      <w:r>
        <w:t>Valores monetários: R$ 1.234,56.</w:t>
      </w:r>
    </w:p>
    <w:p>
      <w:r>
        <w:t>Percentuais: 7,50%, 9,00%, 12,00%, 14,00%.</w:t>
      </w:r>
    </w:p>
    <w:p>
      <w:r>
        <w:t>A interface deve priorizar esses formatos para reduzir ambiguidades na conferência pelo usuário brasileiro.</w:t>
      </w:r>
    </w:p>
    <w:p>
      <w:pPr>
        <w:pStyle w:val="Heading1"/>
      </w:pPr>
      <w:r>
        <w:t>16. Mecânica da V1.2.5 em uma página</w:t>
      </w:r>
    </w:p>
    <w:p>
      <w:r>
        <w:t>Entrada: PDF DIRF.</w:t>
      </w:r>
    </w:p>
    <w:p>
      <w:r>
        <w:t>Extração: registros estruturados + RAW.</w:t>
      </w:r>
    </w:p>
    <w:p>
      <w:r>
        <w:t>Agrupamento: seleção operacional por nome da fonte, com CNPJ para conferência.</w:t>
      </w:r>
    </w:p>
    <w:p>
      <w:r>
        <w:t>Classificação: 11 / 20 / PROGRESSIVA / não definida.</w:t>
      </w:r>
    </w:p>
    <w:p>
      <w:r>
        <w:t>Verificação: fonte + período histórico; consolidação por competência; tabela histórica específica de cada competência; comparação com Previdência DIRF; tolerância registrada.</w:t>
      </w:r>
    </w:p>
    <w:p>
      <w:r>
        <w:t>Saída da verificação: resumo histórico + tabela consolidada + detalhamento expansível por competência + cópia para Excel.</w:t>
      </w:r>
    </w:p>
    <w:p>
      <w:r>
        <w:t>Apuração: lógica principal disponível para 11 e 20.</w:t>
      </w:r>
    </w:p>
    <w:p>
      <w:r>
        <w:t>Auditoria: dados brutos e resultados permanecem exportáveis.</w:t>
      </w:r>
    </w:p>
    <w:p>
      <w:pPr>
        <w:pStyle w:val="Heading1"/>
      </w:pPr>
      <w:r>
        <w:t>Tabela-resumo das guias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Guia</w:t>
            </w:r>
          </w:p>
        </w:tc>
        <w:tc>
          <w:tcPr>
            <w:tcW w:type="dxa" w:w="3360"/>
          </w:tcPr>
          <w:p>
            <w:r>
              <w:t>Função</w:t>
            </w:r>
          </w:p>
        </w:tc>
        <w:tc>
          <w:tcPr>
            <w:tcW w:type="dxa" w:w="3360"/>
          </w:tcPr>
          <w:p>
            <w:r>
              <w:t>Resultado principal</w:t>
            </w:r>
          </w:p>
        </w:tc>
      </w:tr>
      <w:tr>
        <w:tc>
          <w:tcPr>
            <w:tcW w:type="dxa" w:w="3360"/>
            <w:vAlign w:val="center"/>
          </w:tcPr>
          <w:p>
            <w:r>
              <w:t>📄 Extração e filtros</w:t>
            </w:r>
          </w:p>
        </w:tc>
        <w:tc>
          <w:tcPr>
            <w:tcW w:type="dxa" w:w="3360"/>
            <w:vAlign w:val="center"/>
          </w:tcPr>
          <w:p>
            <w:r>
              <w:t>Consultar e filtrar dados</w:t>
            </w:r>
          </w:p>
        </w:tc>
        <w:tc>
          <w:tcPr>
            <w:tcW w:type="dxa" w:w="3360"/>
            <w:vAlign w:val="center"/>
          </w:tcPr>
          <w:p>
            <w:r>
              <w:t>Tabela filtrada / copiar para Excel</w:t>
            </w:r>
          </w:p>
        </w:tc>
      </w:tr>
      <w:tr>
        <w:tc>
          <w:tcPr>
            <w:tcW w:type="dxa" w:w="3360"/>
            <w:vAlign w:val="center"/>
          </w:tcPr>
          <w:p>
            <w:r>
              <w:t>🔗 Agrupamento</w:t>
            </w:r>
          </w:p>
        </w:tc>
        <w:tc>
          <w:tcPr>
            <w:tcW w:type="dxa" w:w="3360"/>
            <w:vAlign w:val="center"/>
          </w:tcPr>
          <w:p>
            <w:r>
              <w:t>Definir fontes participantes</w:t>
            </w:r>
          </w:p>
        </w:tc>
        <w:tc>
          <w:tcPr>
            <w:tcW w:type="dxa" w:w="3360"/>
            <w:vAlign w:val="center"/>
          </w:tcPr>
          <w:p>
            <w:r>
              <w:t>Seleção operacional</w:t>
            </w:r>
          </w:p>
        </w:tc>
      </w:tr>
      <w:tr>
        <w:tc>
          <w:tcPr>
            <w:tcW w:type="dxa" w:w="3360"/>
            <w:vAlign w:val="center"/>
          </w:tcPr>
          <w:p>
            <w:r>
              <w:t>🧩 Classificação</w:t>
            </w:r>
          </w:p>
        </w:tc>
        <w:tc>
          <w:tcPr>
            <w:tcW w:type="dxa" w:w="3360"/>
            <w:vAlign w:val="center"/>
          </w:tcPr>
          <w:p>
            <w:r>
              <w:t>Classificar natureza previdenciária</w:t>
            </w:r>
          </w:p>
        </w:tc>
        <w:tc>
          <w:tcPr>
            <w:tcW w:type="dxa" w:w="3360"/>
            <w:vAlign w:val="center"/>
          </w:tcPr>
          <w:p>
            <w:r>
              <w:t>11 / 20 / progressiva / não definida</w:t>
            </w:r>
          </w:p>
        </w:tc>
      </w:tr>
      <w:tr>
        <w:tc>
          <w:tcPr>
            <w:tcW w:type="dxa" w:w="3360"/>
            <w:vAlign w:val="center"/>
          </w:tcPr>
          <w:p>
            <w:r>
              <w:t>🔎 Verificação</w:t>
            </w:r>
          </w:p>
        </w:tc>
        <w:tc>
          <w:tcPr>
            <w:tcW w:type="dxa" w:w="3360"/>
            <w:vAlign w:val="center"/>
          </w:tcPr>
          <w:p>
            <w:r>
              <w:t>Validar tabela histórica</w:t>
            </w:r>
          </w:p>
        </w:tc>
        <w:tc>
          <w:tcPr>
            <w:tcW w:type="dxa" w:w="3360"/>
            <w:vAlign w:val="center"/>
          </w:tcPr>
          <w:p>
            <w:r>
              <w:t>Resumo + tabela + detalhe</w:t>
            </w:r>
          </w:p>
        </w:tc>
      </w:tr>
      <w:tr>
        <w:tc>
          <w:tcPr>
            <w:tcW w:type="dxa" w:w="3360"/>
            <w:vAlign w:val="center"/>
          </w:tcPr>
          <w:p>
            <w:r>
              <w:t>🧮 Apuração</w:t>
            </w:r>
          </w:p>
        </w:tc>
        <w:tc>
          <w:tcPr>
            <w:tcW w:type="dxa" w:w="3360"/>
            <w:vAlign w:val="center"/>
          </w:tcPr>
          <w:p>
            <w:r>
              <w:t>Aplicar lógica disponível</w:t>
            </w:r>
          </w:p>
        </w:tc>
        <w:tc>
          <w:tcPr>
            <w:tcW w:type="dxa" w:w="3360"/>
            <w:vAlign w:val="center"/>
          </w:tcPr>
          <w:p>
            <w:r>
              <w:t>Apuração 11/20</w:t>
            </w:r>
          </w:p>
        </w:tc>
      </w:tr>
      <w:tr>
        <w:tc>
          <w:tcPr>
            <w:tcW w:type="dxa" w:w="3360"/>
            <w:vAlign w:val="center"/>
          </w:tcPr>
          <w:p>
            <w:r>
              <w:t>📊 Demonstração</w:t>
            </w:r>
          </w:p>
        </w:tc>
        <w:tc>
          <w:tcPr>
            <w:tcW w:type="dxa" w:w="3360"/>
            <w:vAlign w:val="center"/>
          </w:tcPr>
          <w:p>
            <w:r>
              <w:t>Organizar visão horizontal</w:t>
            </w:r>
          </w:p>
        </w:tc>
        <w:tc>
          <w:tcPr>
            <w:tcW w:type="dxa" w:w="3360"/>
            <w:vAlign w:val="center"/>
          </w:tcPr>
          <w:p>
            <w:r>
              <w:t>Demonstração por fonte</w:t>
            </w:r>
          </w:p>
        </w:tc>
      </w:tr>
      <w:tr>
        <w:tc>
          <w:tcPr>
            <w:tcW w:type="dxa" w:w="3360"/>
            <w:vAlign w:val="center"/>
          </w:tcPr>
          <w:p>
            <w:r>
              <w:t>⬇️ Exportação</w:t>
            </w:r>
          </w:p>
        </w:tc>
        <w:tc>
          <w:tcPr>
            <w:tcW w:type="dxa" w:w="3360"/>
            <w:vAlign w:val="center"/>
          </w:tcPr>
          <w:p>
            <w:r>
              <w:t>Preservar resultados</w:t>
            </w:r>
          </w:p>
        </w:tc>
        <w:tc>
          <w:tcPr>
            <w:tcW w:type="dxa" w:w="3360"/>
            <w:vAlign w:val="center"/>
          </w:tcPr>
          <w:p>
            <w:r>
              <w:t>JSON / CSV</w:t>
            </w:r>
          </w:p>
        </w:tc>
      </w:tr>
    </w:tbl>
    <w:p>
      <w:pPr>
        <w:pStyle w:val="Heading1"/>
      </w:pPr>
      <w:r>
        <w:t>Nota de evolução</w:t>
      </w:r>
    </w:p>
    <w:p>
      <w:r>
        <w:t>A V1.2.5 é uma evolução de interface e navegação da bancada de verificação. A alteração do período de análise não modifica a regra de cálculo por competência. A incorporação definitiva da metodologia progressiva ao motor principal continua sendo uma etapa posterior, condicionada à validação.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