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E7490"/>
          <w:sz w:val="18"/>
        </w:rPr>
        <w:t>ENQUADRIA</w:t>
      </w:r>
    </w:p>
    <w:p>
      <w:pPr>
        <w:spacing w:after="80"/>
      </w:pPr>
      <w:r>
        <w:rPr>
          <w:b/>
          <w:color w:val="0B1220"/>
          <w:sz w:val="40"/>
        </w:rPr>
        <w:t>Calendário da transição 2026–2033</w:t>
      </w:r>
    </w:p>
    <w:p>
      <w:pPr>
        <w:spacing w:after="280"/>
      </w:pPr>
      <w:r>
        <w:rPr>
          <w:b w:val="0"/>
          <w:color w:val="64748B"/>
          <w:sz w:val="23"/>
        </w:rPr>
        <w:t>O que fazer em cada fase — e o que volta a pedir decisão</w:t>
      </w:r>
    </w:p>
    <w:p>
      <w:pPr>
        <w:spacing w:after="240"/>
      </w:pPr>
      <w:r>
        <w:rPr>
          <w:b w:val="0"/>
          <w:sz w:val="21"/>
        </w:rPr>
        <w:t>Este calendário substitui o antigo “plano de 30 dias”. O plano continua aqui, como a primeira seção — mas ele deixou de ser o documento inteiro, porque a decisão de setembro não encerra o assunto: a opção vale por semestre, e cada fase da transição devolve a conta para a mesa.</w:t>
      </w:r>
    </w:p>
    <w:p>
      <w:pPr>
        <w:spacing w:after="160"/>
      </w:pPr>
      <w:r>
        <w:rPr>
          <w:b/>
          <w:color w:val="0B1220"/>
          <w:sz w:val="26"/>
        </w:rPr>
        <w:t>PARTE 1 · Os 30 dias até 30 de setembro de 2026</w:t>
      </w:r>
    </w:p>
    <w:p>
      <w:pPr>
        <w:spacing w:after="80"/>
      </w:pPr>
      <w:r>
        <w:rPr>
          <w:b/>
          <w:color w:val="0E7490"/>
          <w:sz w:val="22"/>
        </w:rPr>
        <w:t>Semana 1 — Separar quem decide de quem não decide</w:t>
      </w:r>
    </w:p>
    <w:p>
      <w:pPr>
        <w:pStyle w:val="ListBullet"/>
        <w:spacing w:after="40"/>
      </w:pPr>
      <w:r>
        <w:t>Suba a carteira (um CNPJ basta para começar; o CSV sobe o resto).</w:t>
      </w:r>
    </w:p>
    <w:p>
      <w:pPr>
        <w:pStyle w:val="ListBullet"/>
        <w:spacing w:after="40"/>
      </w:pPr>
      <w:r>
        <w:t>Leia a triagem: faixa A e B são as que exigem análise.</w:t>
      </w:r>
    </w:p>
    <w:p>
      <w:pPr>
        <w:pStyle w:val="ListBullet"/>
        <w:spacing w:after="40"/>
      </w:pPr>
      <w:r>
        <w:t>Descarte MEI, empresas baixadas e quem já saiu do Simples — eles entram na trilha de transição, não nesta janela.</w:t>
      </w:r>
    </w:p>
    <w:p>
      <w:pPr>
        <w:spacing w:after="80"/>
      </w:pPr>
    </w:p>
    <w:p>
      <w:pPr>
        <w:spacing w:after="80"/>
      </w:pPr>
      <w:r>
        <w:rPr>
          <w:b/>
          <w:color w:val="0E7490"/>
          <w:sz w:val="22"/>
        </w:rPr>
        <w:t>Semana 2 — Levantar o que só você tem</w:t>
      </w:r>
    </w:p>
    <w:p>
      <w:pPr>
        <w:pStyle w:val="ListBullet"/>
        <w:spacing w:after="40"/>
      </w:pPr>
      <w:r>
        <w:t>RBT12 de cada empresa da faixa A (PGDAS ou relatório de faturamento).</w:t>
      </w:r>
    </w:p>
    <w:p>
      <w:pPr>
        <w:pStyle w:val="ListBullet"/>
        <w:spacing w:after="40"/>
      </w:pPr>
      <w:r>
        <w:t>Quanto da receita é B2B e quanto desses clientes aproveita crédito integral.</w:t>
      </w:r>
    </w:p>
    <w:p>
      <w:pPr>
        <w:pStyle w:val="ListBullet"/>
        <w:spacing w:after="40"/>
      </w:pPr>
      <w:r>
        <w:t>Compras que geram crédito, sobre a receita.</w:t>
      </w:r>
    </w:p>
    <w:p>
      <w:pPr>
        <w:spacing w:after="80"/>
      </w:pPr>
    </w:p>
    <w:p>
      <w:pPr>
        <w:spacing w:after="80"/>
      </w:pPr>
      <w:r>
        <w:rPr>
          <w:b/>
          <w:color w:val="0E7490"/>
          <w:sz w:val="22"/>
        </w:rPr>
        <w:t>Semana 3 — Analisar, emitir e apresentar</w:t>
      </w:r>
    </w:p>
    <w:p>
      <w:pPr>
        <w:pStyle w:val="ListBullet"/>
        <w:spacing w:after="40"/>
      </w:pPr>
      <w:r>
        <w:t>Uma análise por empresa; comece pela de maior prioridade.</w:t>
      </w:r>
    </w:p>
    <w:p>
      <w:pPr>
        <w:pStyle w:val="ListBullet"/>
        <w:spacing w:after="40"/>
      </w:pPr>
      <w:r>
        <w:t>Emita o laudo e marque a reunião — o roteiro está no material da aula 8.</w:t>
      </w:r>
    </w:p>
    <w:p>
      <w:pPr>
        <w:pStyle w:val="ListBullet"/>
        <w:spacing w:after="40"/>
      </w:pPr>
      <w:r>
        <w:t>Zona de fronteira: leve os dois cenários e deixe a escolha registrada.</w:t>
      </w:r>
    </w:p>
    <w:p>
      <w:pPr>
        <w:spacing w:after="80"/>
      </w:pPr>
    </w:p>
    <w:p>
      <w:pPr>
        <w:spacing w:after="80"/>
      </w:pPr>
      <w:r>
        <w:rPr>
          <w:b/>
          <w:color w:val="0E7490"/>
          <w:sz w:val="22"/>
        </w:rPr>
        <w:t>Semana 4 — Fechar com prova</w:t>
      </w:r>
    </w:p>
    <w:p>
      <w:pPr>
        <w:pStyle w:val="ListBullet"/>
        <w:spacing w:after="40"/>
      </w:pPr>
      <w:r>
        <w:t>Termo de ciência enviado a todos os analisados, inclusive os que vão manter.</w:t>
      </w:r>
    </w:p>
    <w:p>
      <w:pPr>
        <w:pStyle w:val="ListBullet"/>
        <w:spacing w:after="40"/>
      </w:pPr>
      <w:r>
        <w:t>Cobre as assinaturas pendentes — termo não assinado é trabalho que não fecha.</w:t>
      </w:r>
    </w:p>
    <w:p>
      <w:pPr>
        <w:pStyle w:val="ListBullet"/>
        <w:spacing w:after="40"/>
      </w:pPr>
      <w:r>
        <w:t>Guarde o dossiê: laudo numerado, premissas e assinatura com carimbo de tempo.</w:t>
      </w:r>
    </w:p>
    <w:p>
      <w:pPr>
        <w:spacing w:after="80"/>
      </w:pPr>
    </w:p>
    <w:p>
      <w:r>
        <w:br w:type="page"/>
      </w:r>
    </w:p>
    <w:p>
      <w:pPr>
        <w:spacing w:after="160"/>
      </w:pPr>
      <w:r>
        <w:rPr>
          <w:b/>
          <w:color w:val="0B1220"/>
          <w:sz w:val="26"/>
        </w:rPr>
        <w:t>PARTE 2 · O que volta a pedir decisão, até 2033</w:t>
      </w:r>
    </w:p>
    <w:p>
      <w:pPr>
        <w:spacing w:after="200"/>
      </w:pPr>
      <w:r>
        <w:rPr>
          <w:b w:val="0"/>
          <w:color w:val="64748B"/>
          <w:sz w:val="21"/>
        </w:rPr>
        <w:t>Cada linha abaixo é uma revisão cobrável — e a razão de a manutenção estar no honorário mensal, e não em uma nova venda ao cliente.</w:t>
      </w:r>
    </w:p>
    <w:p>
      <w:pPr>
        <w:spacing w:after="40"/>
      </w:pPr>
      <w:r>
        <w:rPr>
          <w:b/>
          <w:color w:val="0E7490"/>
          <w:sz w:val="20"/>
        </w:rPr>
        <w:t>31/10/2026</w:t>
      </w:r>
    </w:p>
    <w:p>
      <w:pPr>
        <w:spacing w:after="40"/>
      </w:pPr>
      <w:r>
        <w:rPr>
          <w:b/>
          <w:color w:val="0B1220"/>
          <w:sz w:val="22"/>
        </w:rPr>
        <w:t>A alíquota de referência é fixada</w:t>
      </w:r>
    </w:p>
    <w:p>
      <w:pPr>
        <w:spacing w:after="200"/>
      </w:pPr>
      <w:r>
        <w:rPr>
          <w:b w:val="0"/>
          <w:sz w:val="21"/>
        </w:rPr>
        <w:t>Toda análise feita com dois cenários passa a ter um número real. Reabra as de fronteira: é onde a recomendação pode virar.</w:t>
      </w:r>
    </w:p>
    <w:p>
      <w:pPr>
        <w:spacing w:after="40"/>
      </w:pPr>
      <w:r>
        <w:rPr>
          <w:b/>
          <w:color w:val="0E7490"/>
          <w:sz w:val="20"/>
        </w:rPr>
        <w:t>01/01/2027</w:t>
      </w:r>
    </w:p>
    <w:p>
      <w:pPr>
        <w:spacing w:after="40"/>
      </w:pPr>
      <w:r>
        <w:rPr>
          <w:b/>
          <w:color w:val="0B1220"/>
          <w:sz w:val="22"/>
        </w:rPr>
        <w:t>CBS cheia e campos de IBS/CBS obrigatórios para o Simples</w:t>
      </w:r>
    </w:p>
    <w:p>
      <w:pPr>
        <w:spacing w:after="200"/>
      </w:pPr>
      <w:r>
        <w:rPr>
          <w:b w:val="0"/>
          <w:sz w:val="21"/>
        </w:rPr>
        <w:t>Ato Conjunto RFB/CGIBS nº 4/2026. Confira com o fornecedor do emissor a data em que os campos ficam prontos — por escrito.</w:t>
      </w:r>
    </w:p>
    <w:p>
      <w:pPr>
        <w:spacing w:after="40"/>
      </w:pPr>
      <w:r>
        <w:rPr>
          <w:b/>
          <w:color w:val="0E7490"/>
          <w:sz w:val="20"/>
        </w:rPr>
        <w:t>1º semestre/2027</w:t>
      </w:r>
    </w:p>
    <w:p>
      <w:pPr>
        <w:spacing w:after="40"/>
      </w:pPr>
      <w:r>
        <w:rPr>
          <w:b/>
          <w:color w:val="0B1220"/>
          <w:sz w:val="22"/>
        </w:rPr>
        <w:t>A segunda janela de opção</w:t>
      </w:r>
    </w:p>
    <w:p>
      <w:pPr>
        <w:spacing w:after="200"/>
      </w:pPr>
      <w:r>
        <w:rPr>
          <w:b w:val="0"/>
          <w:sz w:val="21"/>
        </w:rPr>
        <w:t>A opção vale por semestre. Quem ficou de fora em setembro decide de novo; quem optou reavalia com um semestre de dados reais.</w:t>
      </w:r>
    </w:p>
    <w:p>
      <w:pPr>
        <w:spacing w:after="40"/>
      </w:pPr>
      <w:r>
        <w:rPr>
          <w:b/>
          <w:color w:val="0E7490"/>
          <w:sz w:val="20"/>
        </w:rPr>
        <w:t>2027</w:t>
      </w:r>
    </w:p>
    <w:p>
      <w:pPr>
        <w:spacing w:after="40"/>
      </w:pPr>
      <w:r>
        <w:rPr>
          <w:b/>
          <w:color w:val="0B1220"/>
          <w:sz w:val="22"/>
        </w:rPr>
        <w:t>Split payment, 1ª etapa</w:t>
      </w:r>
    </w:p>
    <w:p>
      <w:pPr>
        <w:spacing w:after="200"/>
      </w:pPr>
      <w:r>
        <w:rPr>
          <w:b w:val="0"/>
          <w:sz w:val="21"/>
        </w:rPr>
        <w:t>Facultativo, entre contribuintes do regime regular. Quem optou passa a ter a parcela de IBS/CBS retida no pagamento: muda o caixa, não só a carga.</w:t>
      </w:r>
    </w:p>
    <w:p>
      <w:pPr>
        <w:spacing w:after="40"/>
      </w:pPr>
      <w:r>
        <w:rPr>
          <w:b/>
          <w:color w:val="0E7490"/>
          <w:sz w:val="20"/>
        </w:rPr>
        <w:t>2027–2028</w:t>
      </w:r>
    </w:p>
    <w:p>
      <w:pPr>
        <w:spacing w:after="40"/>
      </w:pPr>
      <w:r>
        <w:rPr>
          <w:b/>
          <w:color w:val="0B1220"/>
          <w:sz w:val="22"/>
        </w:rPr>
        <w:t>A transição com CBS cheia e IBS simbólico</w:t>
      </w:r>
    </w:p>
    <w:p>
      <w:pPr>
        <w:spacing w:after="200"/>
      </w:pPr>
      <w:r>
        <w:rPr>
          <w:b w:val="0"/>
          <w:sz w:val="21"/>
        </w:rPr>
        <w:t>O comparativo muda de sinal para parte da carteira. Revisão anual por cliente, com a RBT12 do ano.</w:t>
      </w:r>
    </w:p>
    <w:p>
      <w:pPr>
        <w:spacing w:after="40"/>
      </w:pPr>
      <w:r>
        <w:rPr>
          <w:b/>
          <w:color w:val="0E7490"/>
          <w:sz w:val="20"/>
        </w:rPr>
        <w:t>2029–2032</w:t>
      </w:r>
    </w:p>
    <w:p>
      <w:pPr>
        <w:spacing w:after="40"/>
      </w:pPr>
      <w:r>
        <w:rPr>
          <w:b/>
          <w:color w:val="0B1220"/>
          <w:sz w:val="22"/>
        </w:rPr>
        <w:t>O IBS escalona</w:t>
      </w:r>
    </w:p>
    <w:p>
      <w:pPr>
        <w:spacing w:after="200"/>
      </w:pPr>
      <w:r>
        <w:rPr>
          <w:b w:val="0"/>
          <w:sz w:val="21"/>
        </w:rPr>
        <w:t>A cada ano a parcela de IBS sobe e a do ICMS/ISS desce. É a fase em que a decisão de manter também precisa ser revista.</w:t>
      </w:r>
    </w:p>
    <w:p>
      <w:pPr>
        <w:spacing w:after="40"/>
      </w:pPr>
      <w:r>
        <w:rPr>
          <w:b/>
          <w:color w:val="0E7490"/>
          <w:sz w:val="20"/>
        </w:rPr>
        <w:t>2033</w:t>
      </w:r>
    </w:p>
    <w:p>
      <w:pPr>
        <w:spacing w:after="40"/>
      </w:pPr>
      <w:r>
        <w:rPr>
          <w:b/>
          <w:color w:val="0B1220"/>
          <w:sz w:val="22"/>
        </w:rPr>
        <w:t>O sistema antigo acaba</w:t>
      </w:r>
    </w:p>
    <w:p>
      <w:pPr>
        <w:spacing w:after="200"/>
      </w:pPr>
      <w:r>
        <w:rPr>
          <w:b w:val="0"/>
          <w:sz w:val="21"/>
        </w:rPr>
        <w:t>Fim do período de transição. O que sobra é o regime novo — e o histórico documentado de cada decisão que você tomou no caminho.</w:t>
      </w:r>
    </w:p>
    <w:p>
      <w:r>
        <w:br w:type="page"/>
      </w:r>
    </w:p>
    <w:p>
      <w:pPr>
        <w:spacing w:after="160"/>
      </w:pPr>
      <w:r>
        <w:rPr>
          <w:b/>
          <w:color w:val="0B1220"/>
          <w:sz w:val="26"/>
        </w:rPr>
        <w:t>PARTE 3 · A rotina que sustenta o honorário</w:t>
      </w:r>
    </w:p>
    <w:p>
      <w:pPr>
        <w:spacing w:after="60"/>
      </w:pPr>
      <w:r>
        <w:rPr>
          <w:b/>
          <w:color w:val="0E7490"/>
          <w:sz w:val="22"/>
        </w:rPr>
        <w:t>A cada norma nova</w:t>
      </w:r>
    </w:p>
    <w:p>
      <w:pPr>
        <w:spacing w:after="180"/>
      </w:pPr>
      <w:r>
        <w:rPr>
          <w:b w:val="0"/>
          <w:sz w:val="21"/>
        </w:rPr>
        <w:t>Pergunte uma coisa só: quantos clientes meus isso atinge? Se a resposta for zero, arquive. Se não for, vire tarefa com nome e CNPJ.</w:t>
      </w:r>
    </w:p>
    <w:p>
      <w:pPr>
        <w:spacing w:after="60"/>
      </w:pPr>
      <w:r>
        <w:rPr>
          <w:b/>
          <w:color w:val="0E7490"/>
          <w:sz w:val="22"/>
        </w:rPr>
        <w:t>A cada semestre</w:t>
      </w:r>
    </w:p>
    <w:p>
      <w:pPr>
        <w:spacing w:after="180"/>
      </w:pPr>
      <w:r>
        <w:rPr>
          <w:b w:val="0"/>
          <w:sz w:val="21"/>
        </w:rPr>
        <w:t>Reveja quem está na fronteira e quem mudou de faixa de RBT12. São os dois grupos em que a recomendação vira.</w:t>
      </w:r>
    </w:p>
    <w:p>
      <w:pPr>
        <w:spacing w:after="60"/>
      </w:pPr>
      <w:r>
        <w:rPr>
          <w:b/>
          <w:color w:val="0E7490"/>
          <w:sz w:val="22"/>
        </w:rPr>
        <w:t>Uma vez por ano</w:t>
      </w:r>
    </w:p>
    <w:p>
      <w:pPr>
        <w:spacing w:after="180"/>
      </w:pPr>
      <w:r>
        <w:rPr>
          <w:b w:val="0"/>
          <w:sz w:val="21"/>
        </w:rPr>
        <w:t>Entregue ao cliente um resumo do que foi feito: decisões, revisões e o que muda no ano seguinte. É o que faz o honorário parar de ser questionado.</w:t>
      </w:r>
    </w:p>
    <w:p>
      <w:pPr>
        <w:spacing w:after="0"/>
      </w:pPr>
      <w:r>
        <w:rPr>
          <w:b w:val="0"/>
          <w:color w:val="64748B"/>
          <w:sz w:val="18"/>
        </w:rPr>
        <w:t>Conteúdo educativo. Cada caso exige análise própria, e a responsabilidade técnica é de quem assina o laudo. As datas seguem a legislação vigente na data desta versão — confira sempre na fonte citada em cada publicação.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