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7490"/>
          <w:sz w:val="17"/>
        </w:rPr>
        <w:t>ENQUADRIA · MATERIAL DA AULA 7</w:t>
      </w:r>
    </w:p>
    <w:p>
      <w:pPr>
        <w:spacing w:after="60"/>
      </w:pPr>
      <w:r>
        <w:rPr>
          <w:b/>
          <w:color w:val="0B1220"/>
          <w:sz w:val="36"/>
        </w:rPr>
        <w:t>Modelo de proposta — em duas peças</w:t>
      </w:r>
    </w:p>
    <w:p>
      <w:pPr>
        <w:spacing w:after="200"/>
      </w:pPr>
      <w:r>
        <w:rPr>
          <w:b w:val="0"/>
          <w:color w:val="64748B"/>
          <w:sz w:val="21"/>
        </w:rPr>
        <w:t>A do projeto, que se cobra uma vez. E a cláusula de manutenção, que entra no contrato de honorário.</w:t>
      </w:r>
    </w:p>
    <w:p>
      <w:pPr>
        <w:spacing w:after="80"/>
      </w:pPr>
      <w:r>
        <w:rPr>
          <w:b/>
          <w:color w:val="0B1220"/>
          <w:sz w:val="24"/>
        </w:rPr>
        <w:t>Por que duas, e não uma</w:t>
      </w:r>
    </w:p>
    <w:p>
      <w:pPr>
        <w:spacing w:after="0"/>
      </w:pPr>
      <w:r>
        <w:rPr>
          <w:b w:val="0"/>
          <w:sz w:val="20"/>
        </w:rPr>
        <w:t>Se a revisão anual for vendida como projeto novo, o cliente resiste — e com razão: ele já pagou para decidir. A DECISÃO é projeto, com escopo, prazo e preço fechados. A MANUTENÇÃO não se vende de novo: entra no honorário mensal que você já cobra, e é o que faz esse honorário parar de ser questionado. Use a peça 1 agora; a peça 2 na renovação ou por aditivo.</w:t>
      </w:r>
    </w:p>
    <w:p>
      <w:r>
        <w:br w:type="page"/>
      </w:r>
    </w:p>
    <w:p>
      <w:pPr>
        <w:spacing w:after="160"/>
      </w:pPr>
      <w:r>
        <w:rPr>
          <w:b/>
          <w:color w:val="0B1220"/>
          <w:sz w:val="23"/>
        </w:rPr>
        <w:t>PEÇA 1 · PROPOSTA DO PROJETO  —  cabe em uma página, e deve caber</w:t>
      </w:r>
    </w:p>
    <w:p>
      <w:pPr>
        <w:spacing w:after="40"/>
      </w:pPr>
      <w:r>
        <w:rPr>
          <w:b/>
          <w:color w:val="0B1220"/>
          <w:sz w:val="21"/>
        </w:rPr>
        <w:t>[NOME DO ESCRITÓRIO] · CRC [UF] [número]</w:t>
      </w:r>
    </w:p>
    <w:p>
      <w:pPr>
        <w:spacing w:after="40"/>
      </w:pPr>
      <w:r>
        <w:rPr>
          <w:b/>
          <w:color w:val="0E7490"/>
          <w:sz w:val="23"/>
        </w:rPr>
        <w:t>Proposta de análise de enquadramento de IBS/CBS — Simples Nacional</w:t>
      </w:r>
    </w:p>
    <w:p>
      <w:pPr>
        <w:spacing w:after="160"/>
      </w:pPr>
      <w:r>
        <w:rPr>
          <w:b w:val="0"/>
          <w:color w:val="64748B"/>
          <w:sz w:val="19"/>
        </w:rPr>
        <w:t>Para: [RAZÃO SOCIAL] · [CNPJ]        Data: [__/__/2026]</w:t>
      </w:r>
    </w:p>
    <w:p>
      <w:pPr>
        <w:spacing w:after="60"/>
      </w:pPr>
      <w:r>
        <w:rPr>
          <w:b/>
          <w:color w:val="0B1220"/>
          <w:sz w:val="21"/>
        </w:rPr>
        <w:t>1. Por que agora</w:t>
      </w:r>
    </w:p>
    <w:p>
      <w:pPr>
        <w:spacing w:after="140"/>
      </w:pPr>
      <w:r>
        <w:rPr>
          <w:b w:val="0"/>
          <w:sz w:val="20"/>
        </w:rPr>
        <w:t>Até 30 de setembro de 2026 a empresa pode optar por apurar IBS e CBS pelo regime regular, por fora do DAS, com efeito de janeiro a junho de 2027 (LC 214/2025 e atos do Comitê Gestor). Não avaliar também produz efeito: a empresa permanece no DAS sem que a conta tenha sido feita.</w:t>
      </w:r>
    </w:p>
    <w:p>
      <w:pPr>
        <w:spacing w:after="60"/>
      </w:pPr>
      <w:r>
        <w:rPr>
          <w:b/>
          <w:color w:val="0B1220"/>
          <w:sz w:val="21"/>
        </w:rPr>
        <w:t>2. O que será feito</w:t>
      </w:r>
    </w:p>
    <w:p>
      <w:pPr>
        <w:pStyle w:val="ListBullet"/>
        <w:spacing w:after="40"/>
      </w:pPr>
      <w:r>
        <w:rPr>
          <w:sz w:val="20"/>
        </w:rPr>
        <w:t>Levantamento das premissas: RBT12, receita por anexo, vendas a PJ e compras que geram crédito.</w:t>
      </w:r>
    </w:p>
    <w:p>
      <w:pPr>
        <w:pStyle w:val="ListBullet"/>
        <w:spacing w:after="40"/>
      </w:pPr>
      <w:r>
        <w:rPr>
          <w:sz w:val="20"/>
        </w:rPr>
        <w:t>Cálculo comparativo entre permanecer no DAS e apurar pelo regime regular, com a alíquota efetiva aplicável.</w:t>
      </w:r>
    </w:p>
    <w:p>
      <w:pPr>
        <w:pStyle w:val="ListBullet"/>
        <w:spacing w:after="40"/>
      </w:pPr>
      <w:r>
        <w:rPr>
          <w:sz w:val="20"/>
        </w:rPr>
        <w:t>Laudo técnico numerado, com memória de cálculo e a origem de cada premissa.</w:t>
      </w:r>
    </w:p>
    <w:p>
      <w:pPr>
        <w:pStyle w:val="ListBullet"/>
        <w:spacing w:after="40"/>
      </w:pPr>
      <w:r>
        <w:rPr>
          <w:sz w:val="20"/>
        </w:rPr>
        <w:t>Reunião de apresentação do resultado e das alternativas.</w:t>
      </w:r>
    </w:p>
    <w:p>
      <w:pPr>
        <w:pStyle w:val="ListBullet"/>
        <w:spacing w:after="40"/>
      </w:pPr>
      <w:r>
        <w:rPr>
          <w:sz w:val="20"/>
        </w:rPr>
        <w:t>Termo de ciência para assinatura, registrando a decisão tomada.</w:t>
      </w:r>
    </w:p>
    <w:p>
      <w:pPr>
        <w:spacing w:after="60"/>
      </w:pPr>
    </w:p>
    <w:p>
      <w:pPr>
        <w:spacing w:after="60"/>
      </w:pPr>
      <w:r>
        <w:rPr>
          <w:b/>
          <w:color w:val="0B1220"/>
          <w:sz w:val="21"/>
        </w:rPr>
        <w:t>3. Não incluído</w:t>
      </w:r>
    </w:p>
    <w:p>
      <w:pPr>
        <w:spacing w:after="140"/>
      </w:pPr>
      <w:r>
        <w:rPr>
          <w:b w:val="0"/>
          <w:sz w:val="20"/>
        </w:rPr>
        <w:t>Execução da opção no portal (depende de acesso e autorização do contribuinte), consultoria jurídica ou parecer sobre matéria controvertida, e reprocessamento de apurações anteriores.</w:t>
      </w:r>
    </w:p>
    <w:p>
      <w:pPr>
        <w:spacing w:after="60"/>
      </w:pPr>
      <w:r>
        <w:rPr>
          <w:b/>
          <w:color w:val="0B1220"/>
          <w:sz w:val="21"/>
        </w:rPr>
        <w:t>4. Prazo</w:t>
      </w:r>
    </w:p>
    <w:p>
      <w:pPr>
        <w:spacing w:after="140"/>
      </w:pPr>
      <w:r>
        <w:rPr>
          <w:b w:val="0"/>
          <w:sz w:val="20"/>
        </w:rPr>
        <w:t>Laudo em até [__] dias úteis do recebimento das informações. Pelo prazo legal de 30/09/2026, a contratação precisa ocorrer até [__/09/2026].</w:t>
      </w:r>
    </w:p>
    <w:p>
      <w:pPr>
        <w:spacing w:after="60"/>
      </w:pPr>
      <w:r>
        <w:rPr>
          <w:b/>
          <w:color w:val="0B1220"/>
          <w:sz w:val="21"/>
        </w:rPr>
        <w:t>5. Honorário</w:t>
      </w:r>
    </w:p>
    <w:p>
      <w:pPr>
        <w:spacing w:after="140"/>
      </w:pPr>
      <w:r>
        <w:rPr>
          <w:b w:val="0"/>
          <w:sz w:val="20"/>
        </w:rPr>
        <w:t>R$ [______] por empresa analisada, com laudo e termo incluídos. A partir da segunda empresa do mesmo grupo: R$ [______].</w:t>
      </w:r>
    </w:p>
    <w:p>
      <w:pPr>
        <w:spacing w:after="60"/>
      </w:pPr>
      <w:r>
        <w:rPr>
          <w:b/>
          <w:color w:val="0B1220"/>
          <w:sz w:val="21"/>
        </w:rPr>
        <w:t>6. Aceite</w:t>
      </w:r>
    </w:p>
    <w:p>
      <w:pPr>
        <w:spacing w:after="280"/>
      </w:pPr>
      <w:r>
        <w:rPr>
          <w:b w:val="0"/>
          <w:sz w:val="20"/>
        </w:rPr>
        <w:t>Por resposta a este documento, por e-mail, ou por assinatura abaixo.</w:t>
      </w:r>
    </w:p>
    <w:p>
      <w:pPr>
        <w:spacing w:after="20"/>
      </w:pPr>
      <w:r>
        <w:rPr>
          <w:b w:val="0"/>
          <w:sz w:val="20"/>
        </w:rPr>
        <w:t>____________________________________          ____________________________________</w:t>
      </w:r>
    </w:p>
    <w:p>
      <w:pPr>
        <w:spacing w:after="140"/>
      </w:pPr>
      <w:r>
        <w:rPr>
          <w:b w:val="0"/>
          <w:color w:val="64748B"/>
          <w:sz w:val="18"/>
        </w:rPr>
        <w:t>[ESCRITÓRIO] · CRC [__]                                    [CLIENTE] · [CNPJ]</w:t>
      </w:r>
    </w:p>
    <w:p>
      <w:pPr>
        <w:spacing w:after="0"/>
      </w:pPr>
      <w:r>
        <w:rPr>
          <w:b w:val="0"/>
          <w:color w:val="64748B"/>
          <w:sz w:val="17"/>
        </w:rPr>
        <w:t>Análise técnica com base nas premissas informadas pelo contratante e na legislação vigente na data de emissão. A decisão é do contribuinte; a responsabilidade técnica é do profissional que assina o laudo.</w:t>
      </w:r>
    </w:p>
    <w:p>
      <w:r>
        <w:br w:type="page"/>
      </w:r>
    </w:p>
    <w:p>
      <w:pPr>
        <w:spacing w:after="60"/>
      </w:pPr>
      <w:r>
        <w:rPr>
          <w:b/>
          <w:color w:val="0B1220"/>
          <w:sz w:val="24"/>
        </w:rPr>
        <w:t>PEÇA 2 · CLÁUSULA DE MANUTENÇÃO</w:t>
      </w:r>
    </w:p>
    <w:p>
      <w:pPr>
        <w:spacing w:after="200"/>
      </w:pPr>
      <w:r>
        <w:rPr>
          <w:b w:val="0"/>
          <w:color w:val="64748B"/>
          <w:sz w:val="19"/>
        </w:rPr>
        <w:t>Para o contrato de honorários — na renovação ou por aditivo. Ela não cria cobrança nova: nomeia, dentro do que já é pago, um trabalho que passará a existir todo ano até 2033.</w:t>
      </w:r>
    </w:p>
    <w:p>
      <w:pPr>
        <w:spacing w:after="100"/>
      </w:pPr>
      <w:r>
        <w:rPr>
          <w:b/>
          <w:color w:val="0B1220"/>
          <w:sz w:val="21"/>
        </w:rPr>
        <w:t>CLÁUSULA [__] — ACOMPANHAMENTO DA TRANSIÇÃO DO IBS/CBS</w:t>
      </w:r>
    </w:p>
    <w:p>
      <w:pPr>
        <w:spacing w:after="120"/>
      </w:pPr>
      <w:r>
        <w:rPr>
          <w:b w:val="0"/>
          <w:sz w:val="20"/>
        </w:rPr>
        <w:t>Durante o período de transição do sistema tributário (2026 a 2033), o CONTRATADO manterá, como parte dos serviços já contratados e sem acréscimo de honorário, o acompanhamento das normas que afetem o enquadramento tributário do CONTRATANTE, compreendendo:</w:t>
      </w:r>
    </w:p>
    <w:p>
      <w:pPr>
        <w:pStyle w:val="ListBullet"/>
        <w:spacing w:after="60"/>
      </w:pPr>
      <w:r>
        <w:rPr>
          <w:sz w:val="20"/>
        </w:rPr>
        <w:t>a) comunicação das alterações normativas que alcancem a atividade do CONTRATANTE, com a data em que passam a produzir efeito;</w:t>
      </w:r>
    </w:p>
    <w:p>
      <w:pPr>
        <w:pStyle w:val="ListBullet"/>
        <w:spacing w:after="60"/>
      </w:pPr>
      <w:r>
        <w:rPr>
          <w:sz w:val="20"/>
        </w:rPr>
        <w:t>b) reavaliação da decisão de enquadramento a cada janela de opção prevista em lei, ou quando houver alteração relevante de faturamento, de atividade ou de legislação;</w:t>
      </w:r>
    </w:p>
    <w:p>
      <w:pPr>
        <w:pStyle w:val="ListBullet"/>
        <w:spacing w:after="60"/>
      </w:pPr>
      <w:r>
        <w:rPr>
          <w:sz w:val="20"/>
        </w:rPr>
        <w:t>c) emissão de novo laudo e de novo termo de ciência quando a reavaliação indicar mudança de recomendação;</w:t>
      </w:r>
    </w:p>
    <w:p>
      <w:pPr>
        <w:pStyle w:val="ListBullet"/>
        <w:spacing w:after="60"/>
      </w:pPr>
      <w:r>
        <w:rPr>
          <w:sz w:val="20"/>
        </w:rPr>
        <w:t>d) relatório anual consolidando as decisões tomadas, as revisões realizadas e os marcos previstos para o exercício seguinte.</w:t>
      </w:r>
    </w:p>
    <w:p>
      <w:pPr>
        <w:spacing w:after="80"/>
      </w:pPr>
    </w:p>
    <w:p>
      <w:pPr>
        <w:spacing w:after="240"/>
      </w:pPr>
      <w:r>
        <w:rPr>
          <w:b w:val="0"/>
          <w:sz w:val="20"/>
        </w:rPr>
        <w:t>Parágrafo único. A execução de atos perante os órgãos competentes e serviços de natureza jurídica não estão compreendidos nesta cláusula.</w:t>
      </w:r>
    </w:p>
    <w:p>
      <w:pPr>
        <w:spacing w:after="80"/>
      </w:pPr>
      <w:r>
        <w:rPr>
          <w:b/>
          <w:color w:val="0B1220"/>
          <w:sz w:val="23"/>
        </w:rPr>
        <w:t>Como apresentar ao cliente</w:t>
      </w:r>
    </w:p>
    <w:p>
      <w:pPr>
        <w:spacing w:after="120"/>
      </w:pPr>
      <w:r>
        <w:rPr>
          <w:b w:val="0"/>
          <w:sz w:val="20"/>
        </w:rPr>
        <w:t>Não apresente como cláusula nova — apresente como o que você já vai fazer, agora escrito:</w:t>
      </w:r>
    </w:p>
    <w:p>
      <w:pPr>
        <w:spacing w:after="200"/>
      </w:pPr>
      <w:r>
        <w:rPr>
          <w:b/>
          <w:color w:val="0E7490"/>
          <w:sz w:val="20"/>
        </w:rPr>
        <w:t>“A decisão de setembro é um projeto e se cobra uma vez. O que vem depois — as revisões a cada fase até 2033 — está no honorário que você já paga. Coloquei no contrato para ficar claro o que você tem direito de esperar de mim a cada ano.”</w:t>
      </w:r>
    </w:p>
    <w:p>
      <w:pPr>
        <w:spacing w:after="160"/>
      </w:pPr>
      <w:r>
        <w:rPr>
          <w:b w:val="0"/>
          <w:sz w:val="20"/>
        </w:rPr>
        <w:t>O efeito é o inverso do que parece: em vez de abrir espaço para negociar preço, a cláusula transforma um honorário genérico em uma lista de entregas com data. Cliente que sabe o que recebe pergunta menos quanto custa.</w:t>
      </w:r>
    </w:p>
    <w:p>
      <w:pPr>
        <w:spacing w:after="0"/>
      </w:pPr>
      <w:r>
        <w:rPr>
          <w:b w:val="0"/>
          <w:color w:val="64748B"/>
          <w:sz w:val="17"/>
        </w:rPr>
        <w:t>Conteúdo educativo, para adaptação pelo profissional. Ajuste redação e escopo à sua realidade e à legislação vigente na data de uso.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