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5FCB" w14:textId="77777777" w:rsidR="00F94A61" w:rsidRDefault="00F94A61">
      <w:pPr>
        <w:spacing w:before="800"/>
      </w:pPr>
    </w:p>
    <w:p w14:paraId="0566B03D" w14:textId="77777777" w:rsidR="00F94A61" w:rsidRDefault="00000000">
      <w:pPr>
        <w:spacing w:before="200"/>
      </w:pPr>
      <w:r>
        <w:rPr>
          <w:b/>
          <w:bCs/>
          <w:color w:val="1A3557"/>
          <w:sz w:val="52"/>
          <w:szCs w:val="52"/>
        </w:rPr>
        <w:t>AI Trust, Risk &amp;</w:t>
      </w:r>
    </w:p>
    <w:p w14:paraId="4F83BE32" w14:textId="77777777" w:rsidR="00F94A61" w:rsidRDefault="00000000">
      <w:pPr>
        <w:spacing w:after="40"/>
      </w:pPr>
      <w:r>
        <w:rPr>
          <w:b/>
          <w:bCs/>
          <w:color w:val="1A3557"/>
          <w:sz w:val="52"/>
          <w:szCs w:val="52"/>
        </w:rPr>
        <w:t>Security Management</w:t>
      </w:r>
    </w:p>
    <w:p w14:paraId="0C245A2F" w14:textId="77777777" w:rsidR="00F94A61" w:rsidRDefault="00000000">
      <w:pPr>
        <w:spacing w:after="60"/>
      </w:pPr>
      <w:r>
        <w:rPr>
          <w:b/>
          <w:bCs/>
          <w:color w:val="2E75B6"/>
          <w:sz w:val="38"/>
          <w:szCs w:val="38"/>
        </w:rPr>
        <w:t xml:space="preserve">(AI </w:t>
      </w:r>
      <w:proofErr w:type="spellStart"/>
      <w:r>
        <w:rPr>
          <w:b/>
          <w:bCs/>
          <w:color w:val="2E75B6"/>
          <w:sz w:val="38"/>
          <w:szCs w:val="38"/>
        </w:rPr>
        <w:t>TRiSM</w:t>
      </w:r>
      <w:proofErr w:type="spellEnd"/>
      <w:r>
        <w:rPr>
          <w:b/>
          <w:bCs/>
          <w:color w:val="2E75B6"/>
          <w:sz w:val="38"/>
          <w:szCs w:val="38"/>
        </w:rPr>
        <w:t>)</w:t>
      </w:r>
    </w:p>
    <w:p w14:paraId="69A484A1" w14:textId="77777777" w:rsidR="00F94A61" w:rsidRDefault="00F94A61">
      <w:pPr>
        <w:pBdr>
          <w:bottom w:val="single" w:sz="8" w:space="1" w:color="D96B1E"/>
        </w:pBdr>
        <w:spacing w:before="80" w:after="80"/>
      </w:pPr>
    </w:p>
    <w:p w14:paraId="6781003C" w14:textId="77777777" w:rsidR="00F94A61" w:rsidRDefault="00F94A61">
      <w:pPr>
        <w:spacing w:before="320"/>
      </w:pPr>
    </w:p>
    <w:p w14:paraId="5AF2DF47" w14:textId="77777777" w:rsidR="00F94A61" w:rsidRDefault="00000000">
      <w:pPr>
        <w:spacing w:after="40"/>
      </w:pPr>
      <w:r>
        <w:rPr>
          <w:b/>
          <w:bCs/>
          <w:color w:val="666666"/>
          <w:spacing w:val="100"/>
          <w:sz w:val="24"/>
          <w:szCs w:val="24"/>
        </w:rPr>
        <w:t>STRATEGIC ROADMAP</w:t>
      </w:r>
    </w:p>
    <w:p w14:paraId="326C8CB2" w14:textId="77777777" w:rsidR="00F94A61" w:rsidRDefault="00000000">
      <w:pPr>
        <w:spacing w:after="200"/>
      </w:pPr>
      <w:r>
        <w:rPr>
          <w:color w:val="666666"/>
          <w:sz w:val="21"/>
          <w:szCs w:val="21"/>
        </w:rPr>
        <w:t>Systematic Model Observability | Agent Cards | Cross-Agent Monitoring | Institutional Trust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A61" w14:paraId="3311F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20" w:space="0" w:color="D96B1E"/>
              <w:left w:val="thick" w:sz="20" w:space="0" w:color="2E75B6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5E63B5" w14:textId="77777777" w:rsidR="00F94A61" w:rsidRDefault="00000000">
            <w:pPr>
              <w:spacing w:after="100"/>
            </w:pPr>
            <w:r>
              <w:rPr>
                <w:b/>
                <w:bCs/>
                <w:color w:val="1A3557"/>
                <w:spacing w:val="80"/>
                <w:sz w:val="21"/>
                <w:szCs w:val="21"/>
              </w:rPr>
              <w:t>EXECUTIVE SUMMARY</w:t>
            </w:r>
          </w:p>
          <w:p w14:paraId="0523BE78" w14:textId="77777777" w:rsidR="00F94A61" w:rsidRDefault="00000000">
            <w:pPr>
              <w:spacing w:after="80"/>
            </w:pPr>
            <w:r>
              <w:rPr>
                <w:color w:val="404040"/>
                <w:sz w:val="21"/>
                <w:szCs w:val="21"/>
              </w:rPr>
              <w:t xml:space="preserve">As AI agents increasingly make autonomous decisions across financial, operational, and strategic domains, governance can no longer be a retrospective audit function. AI </w:t>
            </w:r>
            <w:proofErr w:type="spellStart"/>
            <w:r>
              <w:rPr>
                <w:color w:val="404040"/>
                <w:sz w:val="21"/>
                <w:szCs w:val="21"/>
              </w:rPr>
              <w:t>TRiSM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elevates governance into a real-time operational discipline — embedding trust, accountability, and risk controls directly into the AI lifecycle.</w:t>
            </w:r>
          </w:p>
          <w:p w14:paraId="474EBF69" w14:textId="77777777" w:rsidR="00F94A61" w:rsidRDefault="00000000">
            <w:r>
              <w:rPr>
                <w:color w:val="404040"/>
                <w:sz w:val="21"/>
                <w:szCs w:val="21"/>
              </w:rPr>
              <w:t>This roadmap outlines a structured framework for implementing Systematic Model Observability, operationalizing Agent Cards, and deploying cross-agent monitoring infrastructure to build durable Institutional Trust.</w:t>
            </w:r>
          </w:p>
        </w:tc>
      </w:tr>
    </w:tbl>
    <w:p w14:paraId="52B216EB" w14:textId="77777777" w:rsidR="00F94A61" w:rsidRDefault="00F94A61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94A61" w14:paraId="694D30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2610F0" w14:textId="77777777" w:rsidR="00F94A61" w:rsidRDefault="00000000">
            <w:pPr>
              <w:spacing w:after="60"/>
              <w:jc w:val="center"/>
            </w:pPr>
            <w:r>
              <w:rPr>
                <w:sz w:val="32"/>
                <w:szCs w:val="32"/>
              </w:rPr>
              <w:t>🔍</w:t>
            </w:r>
          </w:p>
          <w:p w14:paraId="70647950" w14:textId="77777777" w:rsidR="00F94A6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Model Observability</w:t>
            </w:r>
          </w:p>
          <w:p w14:paraId="598EDFC2" w14:textId="77777777" w:rsidR="00F94A61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Continuous monitoring of AI model behaviour, drift, and decision quality in production environments.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2AEC51" w14:textId="77777777" w:rsidR="00F94A61" w:rsidRDefault="00000000">
            <w:pPr>
              <w:spacing w:after="60"/>
              <w:jc w:val="center"/>
            </w:pPr>
            <w:r>
              <w:rPr>
                <w:sz w:val="32"/>
                <w:szCs w:val="32"/>
              </w:rPr>
              <w:t>📋</w:t>
            </w:r>
          </w:p>
          <w:p w14:paraId="5EB8CD45" w14:textId="77777777" w:rsidR="00F94A6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Agent Cards</w:t>
            </w:r>
          </w:p>
          <w:p w14:paraId="72A7B4D8" w14:textId="77777777" w:rsidR="00F94A61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Standardized safety documentation that defines agent scope, constraints, escalation paths, and accountability.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D1A813" w14:textId="77777777" w:rsidR="00F94A61" w:rsidRDefault="00000000">
            <w:pPr>
              <w:spacing w:after="60"/>
              <w:jc w:val="center"/>
            </w:pPr>
            <w:r>
              <w:rPr>
                <w:sz w:val="32"/>
                <w:szCs w:val="32"/>
              </w:rPr>
              <w:t>🏛</w:t>
            </w:r>
          </w:p>
          <w:p w14:paraId="5429A011" w14:textId="77777777" w:rsidR="00F94A6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Institutional Trust</w:t>
            </w:r>
          </w:p>
          <w:p w14:paraId="5BEE8ABC" w14:textId="77777777" w:rsidR="00F94A61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Systematic confidence-building so stakeholders can delegate high-stakes decisions to autonomous systems.</w:t>
            </w:r>
          </w:p>
        </w:tc>
      </w:tr>
    </w:tbl>
    <w:p w14:paraId="515CC920" w14:textId="77777777" w:rsidR="00F94A61" w:rsidRDefault="00F94A61">
      <w:pPr>
        <w:spacing w:before="400"/>
      </w:pPr>
    </w:p>
    <w:p w14:paraId="6F9CB673" w14:textId="77777777" w:rsidR="00F94A61" w:rsidRDefault="00000000">
      <w:r>
        <w:rPr>
          <w:color w:val="666666"/>
          <w:sz w:val="17"/>
          <w:szCs w:val="17"/>
        </w:rPr>
        <w:t xml:space="preserve">Document Classification: </w:t>
      </w:r>
      <w:r>
        <w:rPr>
          <w:b/>
          <w:bCs/>
          <w:color w:val="2E75B6"/>
          <w:sz w:val="17"/>
          <w:szCs w:val="17"/>
        </w:rPr>
        <w:t>Strategic | Confidential</w:t>
      </w:r>
      <w:r>
        <w:rPr>
          <w:color w:val="666666"/>
          <w:sz w:val="17"/>
          <w:szCs w:val="17"/>
        </w:rPr>
        <w:t xml:space="preserve">    |    Version: 1.0    |    2025</w:t>
      </w:r>
    </w:p>
    <w:p w14:paraId="79206EDE" w14:textId="77777777" w:rsidR="00F94A61" w:rsidRDefault="00F94A61"/>
    <w:p w14:paraId="74118DC6" w14:textId="77777777" w:rsidR="00557D02" w:rsidRDefault="00557D02"/>
    <w:p w14:paraId="170CB158" w14:textId="77777777" w:rsidR="00557D02" w:rsidRDefault="00557D02"/>
    <w:p w14:paraId="5592CC47" w14:textId="77777777" w:rsidR="00557D02" w:rsidRDefault="00557D02"/>
    <w:p w14:paraId="3694F0F1" w14:textId="77777777" w:rsidR="00557D02" w:rsidRDefault="00557D02"/>
    <w:p w14:paraId="221FE873" w14:textId="77777777" w:rsidR="00557D02" w:rsidRDefault="00557D02"/>
    <w:p w14:paraId="59243A82" w14:textId="77777777" w:rsidR="00557D02" w:rsidRDefault="00557D02"/>
    <w:p w14:paraId="4403509B" w14:textId="77777777" w:rsidR="00557D02" w:rsidRDefault="00557D02"/>
    <w:p w14:paraId="4E3834C8" w14:textId="77777777" w:rsidR="00557D02" w:rsidRDefault="00557D02" w:rsidP="00557D02">
      <w:pPr>
        <w:jc w:val="center"/>
      </w:pPr>
      <w:proofErr w:type="spellStart"/>
      <w:r>
        <w:rPr>
          <w:color w:val="666666"/>
          <w:sz w:val="15"/>
          <w:szCs w:val="15"/>
        </w:rPr>
        <w:t>Accredian</w:t>
      </w:r>
      <w:proofErr w:type="spellEnd"/>
      <w:r>
        <w:rPr>
          <w:color w:val="666666"/>
          <w:sz w:val="15"/>
          <w:szCs w:val="15"/>
        </w:rPr>
        <w:t xml:space="preserve"> is a leading Indian institution specializing in AI, Data Science, and Management research and education. Visit us at: </w:t>
      </w:r>
      <w:hyperlink r:id="rId7" w:history="1">
        <w:r>
          <w:rPr>
            <w:color w:val="2E75B6"/>
            <w:sz w:val="15"/>
            <w:szCs w:val="15"/>
            <w:u w:val="single"/>
          </w:rPr>
          <w:t>https://accredian.com</w:t>
        </w:r>
      </w:hyperlink>
    </w:p>
    <w:p w14:paraId="6A105435" w14:textId="77777777" w:rsidR="00557D02" w:rsidRDefault="00557D02">
      <w:pPr>
        <w:sectPr w:rsidR="00557D02">
          <w:head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F7B6DF7" w14:textId="77777777" w:rsidR="00F94A61" w:rsidRDefault="00F94A61">
      <w:pPr>
        <w:spacing w:before="160"/>
      </w:pPr>
    </w:p>
    <w:p w14:paraId="0D36681D" w14:textId="77777777" w:rsidR="00F94A61" w:rsidRDefault="00000000">
      <w:pPr>
        <w:pBdr>
          <w:top w:val="single" w:sz="1" w:space="0" w:color="1A3557"/>
          <w:left w:val="thick" w:sz="20" w:space="0" w:color="D96B1E"/>
          <w:bottom w:val="single" w:sz="1" w:space="0" w:color="1A3557"/>
          <w:right w:val="none" w:sz="0" w:space="0" w:color="FFFFFF"/>
        </w:pBdr>
        <w:shd w:val="clear" w:color="auto" w:fill="1A3557"/>
        <w:spacing w:before="160" w:after="80"/>
        <w:ind w:left="180" w:right="180"/>
      </w:pPr>
      <w:proofErr w:type="gramStart"/>
      <w:r>
        <w:rPr>
          <w:b/>
          <w:bCs/>
          <w:color w:val="FFFFFF"/>
          <w:sz w:val="26"/>
          <w:szCs w:val="26"/>
        </w:rPr>
        <w:t>01  |</w:t>
      </w:r>
      <w:proofErr w:type="gramEnd"/>
      <w:r>
        <w:rPr>
          <w:b/>
          <w:bCs/>
          <w:color w:val="FFFFFF"/>
          <w:sz w:val="26"/>
          <w:szCs w:val="26"/>
        </w:rPr>
        <w:t xml:space="preserve">  Systematic Model Observability</w:t>
      </w:r>
    </w:p>
    <w:p w14:paraId="7B44C9AB" w14:textId="77777777" w:rsidR="00F94A61" w:rsidRDefault="00F94A61">
      <w:pPr>
        <w:spacing w:before="200"/>
      </w:pPr>
    </w:p>
    <w:p w14:paraId="18F99A9D" w14:textId="77777777" w:rsidR="00F94A61" w:rsidRDefault="00000000">
      <w:pPr>
        <w:spacing w:before="40" w:after="40"/>
      </w:pPr>
      <w:r>
        <w:rPr>
          <w:color w:val="404040"/>
          <w:sz w:val="21"/>
          <w:szCs w:val="21"/>
        </w:rPr>
        <w:t>Observability transforms AI systems from opaque black-boxes into auditable, explainable infrastructure. It is the technical foundation upon which all governance and trust mechanisms are built.</w:t>
      </w:r>
    </w:p>
    <w:p w14:paraId="3AAD2552" w14:textId="77777777" w:rsidR="00F94A61" w:rsidRDefault="00F94A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94A61" w14:paraId="07F4DD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1F7D7BAE" w14:textId="77777777" w:rsidR="00F94A6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 Monitoring</w:t>
            </w:r>
          </w:p>
          <w:p w14:paraId="2BFE813A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Data quality checks</w:t>
            </w:r>
          </w:p>
          <w:p w14:paraId="5DB05EB1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Distribution shift alerts</w:t>
            </w:r>
          </w:p>
          <w:p w14:paraId="522D9739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Adversarial input detection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3A0F4744" w14:textId="77777777" w:rsidR="00F94A6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Decision Logging</w:t>
            </w:r>
          </w:p>
          <w:p w14:paraId="772DC235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Full audit trail</w:t>
            </w:r>
          </w:p>
          <w:p w14:paraId="31806889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Confidence scores</w:t>
            </w:r>
          </w:p>
          <w:p w14:paraId="26371E39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Reasoning chain capture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E4C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2B8F2B01" w14:textId="77777777" w:rsidR="00F94A6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 Validation</w:t>
            </w:r>
          </w:p>
          <w:p w14:paraId="2E7184FB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Policy compliance gates</w:t>
            </w:r>
          </w:p>
          <w:p w14:paraId="54074CD3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Downstream impact tracking</w:t>
            </w:r>
          </w:p>
          <w:p w14:paraId="371B2AF9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Exception flagging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6B1E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284C50A6" w14:textId="77777777" w:rsidR="00F94A6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Drift Detection</w:t>
            </w:r>
          </w:p>
          <w:p w14:paraId="12BEC101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Statistical drift monitoring</w:t>
            </w:r>
          </w:p>
          <w:p w14:paraId="3AFF0EE4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Performance degradation</w:t>
            </w:r>
          </w:p>
          <w:p w14:paraId="65EB1E43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FFFFFF"/>
                <w:sz w:val="17"/>
                <w:szCs w:val="17"/>
              </w:rPr>
              <w:t>Automated retraining triggers</w:t>
            </w:r>
          </w:p>
        </w:tc>
      </w:tr>
    </w:tbl>
    <w:p w14:paraId="57E596E3" w14:textId="77777777" w:rsidR="00F94A61" w:rsidRDefault="00F94A61">
      <w:pPr>
        <w:spacing w:before="240"/>
      </w:pPr>
    </w:p>
    <w:p w14:paraId="1DDA62AD" w14:textId="77777777" w:rsidR="00F94A61" w:rsidRDefault="00F94A61">
      <w:pPr>
        <w:pBdr>
          <w:bottom w:val="single" w:sz="8" w:space="1" w:color="2E75B6"/>
        </w:pBdr>
        <w:spacing w:before="80" w:after="80"/>
      </w:pPr>
    </w:p>
    <w:p w14:paraId="5E084303" w14:textId="77777777" w:rsidR="00F94A61" w:rsidRDefault="00F94A61">
      <w:pPr>
        <w:spacing w:before="160"/>
      </w:pPr>
    </w:p>
    <w:p w14:paraId="7DFFC4D2" w14:textId="77777777" w:rsidR="00F94A61" w:rsidRDefault="00000000">
      <w:pPr>
        <w:pBdr>
          <w:top w:val="single" w:sz="1" w:space="0" w:color="1A3557"/>
          <w:left w:val="thick" w:sz="20" w:space="0" w:color="D96B1E"/>
          <w:bottom w:val="single" w:sz="1" w:space="0" w:color="1A3557"/>
          <w:right w:val="none" w:sz="0" w:space="0" w:color="FFFFFF"/>
        </w:pBdr>
        <w:shd w:val="clear" w:color="auto" w:fill="1A3557"/>
        <w:spacing w:before="160" w:after="80"/>
        <w:ind w:left="180" w:right="180"/>
      </w:pPr>
      <w:proofErr w:type="gramStart"/>
      <w:r>
        <w:rPr>
          <w:b/>
          <w:bCs/>
          <w:color w:val="FFFFFF"/>
          <w:sz w:val="26"/>
          <w:szCs w:val="26"/>
        </w:rPr>
        <w:t>02  |</w:t>
      </w:r>
      <w:proofErr w:type="gramEnd"/>
      <w:r>
        <w:rPr>
          <w:b/>
          <w:bCs/>
          <w:color w:val="FFFFFF"/>
          <w:sz w:val="26"/>
          <w:szCs w:val="26"/>
        </w:rPr>
        <w:t xml:space="preserve">  Agent Cards — Safety Documentation for Autonomous Agents</w:t>
      </w:r>
    </w:p>
    <w:p w14:paraId="582E9A5C" w14:textId="77777777" w:rsidR="00F94A61" w:rsidRDefault="00F94A61">
      <w:pPr>
        <w:spacing w:before="200"/>
      </w:pPr>
    </w:p>
    <w:p w14:paraId="0EE48ED2" w14:textId="77777777" w:rsidR="00F94A61" w:rsidRDefault="00000000">
      <w:pPr>
        <w:spacing w:before="40" w:after="40"/>
      </w:pPr>
      <w:r>
        <w:rPr>
          <w:color w:val="404040"/>
          <w:sz w:val="21"/>
          <w:szCs w:val="21"/>
        </w:rPr>
        <w:t>An Agent Card is a structured, machine-readable and human-readable specification that defines what an autonomous agent is authorised to do, under what conditions, and to whom it is accountable.</w:t>
      </w:r>
    </w:p>
    <w:p w14:paraId="7147C822" w14:textId="77777777" w:rsidR="00F94A61" w:rsidRDefault="00F94A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4A61" w14:paraId="18DAA5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A2E1" w14:textId="77777777" w:rsidR="00F94A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 CARD ANATOMY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8C8C" w14:textId="77777777" w:rsidR="00F94A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F94A61" w14:paraId="489CD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47F9" w14:textId="77777777" w:rsidR="00F94A61" w:rsidRDefault="00000000">
            <w:r>
              <w:rPr>
                <w:b/>
                <w:bCs/>
                <w:color w:val="1A3557"/>
                <w:sz w:val="20"/>
                <w:szCs w:val="20"/>
              </w:rPr>
              <w:t>Agent Identity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CEB5" w14:textId="77777777" w:rsidR="00F94A61" w:rsidRDefault="00000000">
            <w:r>
              <w:rPr>
                <w:color w:val="404040"/>
                <w:sz w:val="20"/>
                <w:szCs w:val="20"/>
              </w:rPr>
              <w:t>Unique identifier, version, owning team, and deployment environment.</w:t>
            </w:r>
          </w:p>
        </w:tc>
      </w:tr>
      <w:tr w:rsidR="00F94A61" w14:paraId="04F14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3BEE" w14:textId="77777777" w:rsidR="00F94A61" w:rsidRDefault="00000000">
            <w:r>
              <w:rPr>
                <w:b/>
                <w:bCs/>
                <w:color w:val="1A3557"/>
                <w:sz w:val="20"/>
                <w:szCs w:val="20"/>
              </w:rPr>
              <w:t>Scope &amp; Authority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ED87" w14:textId="77777777" w:rsidR="00F94A61" w:rsidRDefault="00000000">
            <w:r>
              <w:rPr>
                <w:color w:val="404040"/>
                <w:sz w:val="20"/>
                <w:szCs w:val="20"/>
              </w:rPr>
              <w:t>Permitted action domains, data access levels, and hard-blocked operations.</w:t>
            </w:r>
          </w:p>
        </w:tc>
      </w:tr>
      <w:tr w:rsidR="00F94A61" w14:paraId="0C3A2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93C0" w14:textId="77777777" w:rsidR="00F94A61" w:rsidRDefault="00000000">
            <w:r>
              <w:rPr>
                <w:b/>
                <w:bCs/>
                <w:color w:val="1A3557"/>
                <w:sz w:val="20"/>
                <w:szCs w:val="20"/>
              </w:rPr>
              <w:t>Risk Profile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047F" w14:textId="77777777" w:rsidR="00F94A61" w:rsidRDefault="00000000">
            <w:r>
              <w:rPr>
                <w:color w:val="404040"/>
                <w:sz w:val="20"/>
                <w:szCs w:val="20"/>
              </w:rPr>
              <w:t>Risk tier classification (Low / Medium / High / Critical) and associated controls.</w:t>
            </w:r>
          </w:p>
        </w:tc>
      </w:tr>
      <w:tr w:rsidR="00F94A61" w14:paraId="2A4DE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9F7F" w14:textId="77777777" w:rsidR="00F94A61" w:rsidRDefault="00000000">
            <w:r>
              <w:rPr>
                <w:b/>
                <w:bCs/>
                <w:color w:val="1A3557"/>
                <w:sz w:val="20"/>
                <w:szCs w:val="20"/>
              </w:rPr>
              <w:t>Escalation Protocol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8EE0" w14:textId="77777777" w:rsidR="00F94A61" w:rsidRDefault="00000000">
            <w:r>
              <w:rPr>
                <w:color w:val="404040"/>
                <w:sz w:val="20"/>
                <w:szCs w:val="20"/>
              </w:rPr>
              <w:t>Conditions that trigger human-in-the-loop review and escalation pathways.</w:t>
            </w:r>
          </w:p>
        </w:tc>
      </w:tr>
      <w:tr w:rsidR="00F94A61" w14:paraId="6D5B6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A16C" w14:textId="77777777" w:rsidR="00F94A61" w:rsidRDefault="00000000">
            <w:r>
              <w:rPr>
                <w:b/>
                <w:bCs/>
                <w:color w:val="1A3557"/>
                <w:sz w:val="20"/>
                <w:szCs w:val="20"/>
              </w:rPr>
              <w:t>Accountability Chain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58AA" w14:textId="77777777" w:rsidR="00F94A61" w:rsidRDefault="00000000">
            <w:r>
              <w:rPr>
                <w:color w:val="404040"/>
                <w:sz w:val="20"/>
                <w:szCs w:val="20"/>
              </w:rPr>
              <w:t>Named responsible owners: Technical, Business, and Compliance stewards.</w:t>
            </w:r>
          </w:p>
        </w:tc>
      </w:tr>
      <w:tr w:rsidR="00F94A61" w14:paraId="7AF177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2F0C" w14:textId="77777777" w:rsidR="00F94A61" w:rsidRDefault="00000000">
            <w:r>
              <w:rPr>
                <w:b/>
                <w:bCs/>
                <w:color w:val="1A3557"/>
                <w:sz w:val="20"/>
                <w:szCs w:val="20"/>
              </w:rPr>
              <w:t>Audit Requirements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D72C" w14:textId="77777777" w:rsidR="00F94A61" w:rsidRDefault="00000000">
            <w:r>
              <w:rPr>
                <w:color w:val="404040"/>
                <w:sz w:val="20"/>
                <w:szCs w:val="20"/>
              </w:rPr>
              <w:t>Minimum logging fidelity, retention policy, and review cadence.</w:t>
            </w:r>
          </w:p>
        </w:tc>
      </w:tr>
      <w:tr w:rsidR="00F94A61" w14:paraId="3CE06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112F" w14:textId="77777777" w:rsidR="00F94A61" w:rsidRDefault="00000000">
            <w:r>
              <w:rPr>
                <w:b/>
                <w:bCs/>
                <w:color w:val="1A3557"/>
                <w:sz w:val="20"/>
                <w:szCs w:val="20"/>
              </w:rPr>
              <w:t>Expiry &amp; Review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02C8" w14:textId="77777777" w:rsidR="00F94A61" w:rsidRDefault="00000000">
            <w:r>
              <w:rPr>
                <w:color w:val="404040"/>
                <w:sz w:val="20"/>
                <w:szCs w:val="20"/>
              </w:rPr>
              <w:t>Card validity period, mandatory review triggers, and sunset conditions.</w:t>
            </w:r>
          </w:p>
        </w:tc>
      </w:tr>
    </w:tbl>
    <w:p w14:paraId="46441C36" w14:textId="77777777" w:rsidR="00F94A61" w:rsidRDefault="00000000">
      <w:pPr>
        <w:spacing w:before="40" w:after="40"/>
      </w:pPr>
      <w:r>
        <w:rPr>
          <w:color w:val="666666"/>
          <w:sz w:val="20"/>
          <w:szCs w:val="20"/>
        </w:rPr>
        <w:t>Agent Cards must be treated as living documents. Any change to agent capability, training data, or deployment scope requires an updated and re-approved Agent Card before production redeployment.</w:t>
      </w:r>
    </w:p>
    <w:p w14:paraId="3DD4B79A" w14:textId="77777777" w:rsidR="00F94A61" w:rsidRDefault="00F94A61"/>
    <w:p w14:paraId="6AD2AC38" w14:textId="77777777" w:rsidR="00557D02" w:rsidRDefault="00557D02"/>
    <w:p w14:paraId="6565E062" w14:textId="77777777" w:rsidR="00557D02" w:rsidRDefault="00557D02" w:rsidP="00557D02">
      <w:pPr>
        <w:jc w:val="center"/>
      </w:pPr>
      <w:proofErr w:type="spellStart"/>
      <w:r>
        <w:rPr>
          <w:color w:val="666666"/>
          <w:sz w:val="15"/>
          <w:szCs w:val="15"/>
        </w:rPr>
        <w:t>Accredian</w:t>
      </w:r>
      <w:proofErr w:type="spellEnd"/>
      <w:r>
        <w:rPr>
          <w:color w:val="666666"/>
          <w:sz w:val="15"/>
          <w:szCs w:val="15"/>
        </w:rPr>
        <w:t xml:space="preserve"> is a leading Indian institution specializing in AI, Data Science, and Management research and education. Visit us at: </w:t>
      </w:r>
      <w:hyperlink r:id="rId9" w:history="1">
        <w:r>
          <w:rPr>
            <w:color w:val="2E75B6"/>
            <w:sz w:val="15"/>
            <w:szCs w:val="15"/>
            <w:u w:val="single"/>
          </w:rPr>
          <w:t>https://accredian.com</w:t>
        </w:r>
      </w:hyperlink>
    </w:p>
    <w:p w14:paraId="3DFB2433" w14:textId="77777777" w:rsidR="00557D02" w:rsidRDefault="00557D02">
      <w:pPr>
        <w:sectPr w:rsidR="00557D02">
          <w:headerReference w:type="default" r:id="rId10"/>
          <w:foot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A89789" w14:textId="77777777" w:rsidR="00F94A61" w:rsidRDefault="00F94A61">
      <w:pPr>
        <w:spacing w:before="160"/>
      </w:pPr>
    </w:p>
    <w:p w14:paraId="6CCA48E5" w14:textId="77777777" w:rsidR="00F94A61" w:rsidRDefault="00000000">
      <w:pPr>
        <w:pBdr>
          <w:top w:val="single" w:sz="1" w:space="0" w:color="1A3557"/>
          <w:left w:val="thick" w:sz="20" w:space="0" w:color="D96B1E"/>
          <w:bottom w:val="single" w:sz="1" w:space="0" w:color="1A3557"/>
          <w:right w:val="none" w:sz="0" w:space="0" w:color="FFFFFF"/>
        </w:pBdr>
        <w:shd w:val="clear" w:color="auto" w:fill="1A3557"/>
        <w:spacing w:before="160" w:after="80"/>
        <w:ind w:left="180" w:right="180"/>
      </w:pPr>
      <w:proofErr w:type="gramStart"/>
      <w:r>
        <w:rPr>
          <w:b/>
          <w:bCs/>
          <w:color w:val="FFFFFF"/>
          <w:sz w:val="26"/>
          <w:szCs w:val="26"/>
        </w:rPr>
        <w:t>03  |</w:t>
      </w:r>
      <w:proofErr w:type="gramEnd"/>
      <w:r>
        <w:rPr>
          <w:b/>
          <w:bCs/>
          <w:color w:val="FFFFFF"/>
          <w:sz w:val="26"/>
          <w:szCs w:val="26"/>
        </w:rPr>
        <w:t xml:space="preserve">  Cross-Agent Monitoring — AI Auditing AI</w:t>
      </w:r>
    </w:p>
    <w:p w14:paraId="275B6923" w14:textId="77777777" w:rsidR="00F94A61" w:rsidRDefault="00F94A61">
      <w:pPr>
        <w:spacing w:before="200"/>
      </w:pPr>
    </w:p>
    <w:p w14:paraId="78DD2593" w14:textId="77777777" w:rsidR="00F94A61" w:rsidRDefault="00000000">
      <w:pPr>
        <w:spacing w:before="40" w:after="40"/>
      </w:pPr>
      <w:r>
        <w:rPr>
          <w:color w:val="404040"/>
          <w:sz w:val="21"/>
          <w:szCs w:val="21"/>
        </w:rPr>
        <w:t>In multi-agent architectures, no single human operator can evaluate every decision in real time. Cross-agent monitoring deploys dedicated auditor agents that continuously review, score, and flag the decisions of operational agents.</w:t>
      </w:r>
    </w:p>
    <w:p w14:paraId="56F76BA4" w14:textId="77777777" w:rsidR="00F94A61" w:rsidRDefault="00F94A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94A61" w14:paraId="04A15F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E95A80" w14:textId="77777777" w:rsidR="00F94A61" w:rsidRDefault="00000000">
            <w:pPr>
              <w:spacing w:after="80"/>
            </w:pPr>
            <w:r>
              <w:rPr>
                <w:b/>
                <w:bCs/>
                <w:color w:val="1A3557"/>
                <w:sz w:val="20"/>
                <w:szCs w:val="20"/>
              </w:rPr>
              <w:t>OPERATIONAL AGENTS</w:t>
            </w:r>
          </w:p>
          <w:p w14:paraId="4F41DE3B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Execute financial transactions</w:t>
            </w:r>
          </w:p>
          <w:p w14:paraId="2CF74F7B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Process customer requests autonomously</w:t>
            </w:r>
          </w:p>
          <w:p w14:paraId="26B0F78E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Trigger operational workflows</w:t>
            </w:r>
          </w:p>
          <w:p w14:paraId="6E15BC34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Generate and distribute reports</w:t>
            </w:r>
          </w:p>
          <w:p w14:paraId="52E20AE1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Interact with external systems via APIs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83A79" w14:textId="77777777" w:rsidR="00F94A61" w:rsidRDefault="00000000">
            <w:pPr>
              <w:spacing w:after="80"/>
            </w:pPr>
            <w:r>
              <w:rPr>
                <w:b/>
                <w:bCs/>
                <w:color w:val="D96B1E"/>
                <w:sz w:val="20"/>
                <w:szCs w:val="20"/>
              </w:rPr>
              <w:t>AUDITOR AGENTS</w:t>
            </w:r>
          </w:p>
          <w:p w14:paraId="5077FA8A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Score decisions against policy rules</w:t>
            </w:r>
          </w:p>
          <w:p w14:paraId="25D35E05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Flag anomalies and edge cases</w:t>
            </w:r>
          </w:p>
          <w:p w14:paraId="38CAB025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Maintain immutable decision audit logs</w:t>
            </w:r>
          </w:p>
          <w:p w14:paraId="52D45C79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Escalate high-risk actions to humans</w:t>
            </w:r>
          </w:p>
          <w:p w14:paraId="37EC706A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Produce periodic compliance attestations</w:t>
            </w:r>
          </w:p>
        </w:tc>
      </w:tr>
    </w:tbl>
    <w:p w14:paraId="3DE93979" w14:textId="77777777" w:rsidR="00F94A61" w:rsidRDefault="00F94A61">
      <w:pPr>
        <w:spacing w:before="200"/>
      </w:pPr>
    </w:p>
    <w:p w14:paraId="374EA9E7" w14:textId="77777777" w:rsidR="00F94A61" w:rsidRDefault="00F94A61">
      <w:pPr>
        <w:pBdr>
          <w:bottom w:val="single" w:sz="8" w:space="1" w:color="2E75B6"/>
        </w:pBdr>
        <w:spacing w:before="80" w:after="80"/>
      </w:pPr>
    </w:p>
    <w:p w14:paraId="5FD8DFAD" w14:textId="77777777" w:rsidR="00F94A61" w:rsidRDefault="00F94A61">
      <w:pPr>
        <w:spacing w:before="160"/>
      </w:pPr>
    </w:p>
    <w:p w14:paraId="1E09EB1B" w14:textId="77777777" w:rsidR="00F94A61" w:rsidRDefault="00000000">
      <w:pPr>
        <w:pBdr>
          <w:top w:val="single" w:sz="1" w:space="0" w:color="1A3557"/>
          <w:left w:val="thick" w:sz="20" w:space="0" w:color="D96B1E"/>
          <w:bottom w:val="single" w:sz="1" w:space="0" w:color="1A3557"/>
          <w:right w:val="none" w:sz="0" w:space="0" w:color="FFFFFF"/>
        </w:pBdr>
        <w:shd w:val="clear" w:color="auto" w:fill="1A3557"/>
        <w:spacing w:before="160" w:after="80"/>
        <w:ind w:left="180" w:right="180"/>
      </w:pPr>
      <w:proofErr w:type="gramStart"/>
      <w:r>
        <w:rPr>
          <w:b/>
          <w:bCs/>
          <w:color w:val="FFFFFF"/>
          <w:sz w:val="26"/>
          <w:szCs w:val="26"/>
        </w:rPr>
        <w:t>04  |</w:t>
      </w:r>
      <w:proofErr w:type="gramEnd"/>
      <w:r>
        <w:rPr>
          <w:b/>
          <w:bCs/>
          <w:color w:val="FFFFFF"/>
          <w:sz w:val="26"/>
          <w:szCs w:val="26"/>
        </w:rPr>
        <w:t xml:space="preserve">  Building Institutional Trust</w:t>
      </w:r>
    </w:p>
    <w:p w14:paraId="7D8D3CED" w14:textId="77777777" w:rsidR="00F94A61" w:rsidRDefault="00F94A61">
      <w:pPr>
        <w:spacing w:before="200"/>
      </w:pPr>
    </w:p>
    <w:p w14:paraId="2E67534C" w14:textId="77777777" w:rsidR="00F94A61" w:rsidRDefault="00000000">
      <w:pPr>
        <w:spacing w:before="40" w:after="40"/>
      </w:pPr>
      <w:r>
        <w:rPr>
          <w:color w:val="404040"/>
          <w:sz w:val="21"/>
          <w:szCs w:val="21"/>
        </w:rPr>
        <w:t>Institutional Trust is the measurable confidence that stakeholders — boards, regulators, clients, and employees — have in delegating consequential decisions to autonomous systems. It is earned through demonstrated transparency, accountability, and consistent performance.</w:t>
      </w:r>
    </w:p>
    <w:p w14:paraId="4CF3668C" w14:textId="77777777" w:rsidR="00F94A61" w:rsidRDefault="00F94A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94A61" w14:paraId="3CCDB8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1DDD4" w14:textId="77777777" w:rsidR="00F94A61" w:rsidRDefault="00000000">
            <w:r>
              <w:rPr>
                <w:b/>
                <w:bCs/>
                <w:color w:val="1A3557"/>
                <w:sz w:val="19"/>
                <w:szCs w:val="19"/>
              </w:rPr>
              <w:t>Explainability Layer</w:t>
            </w:r>
          </w:p>
          <w:p w14:paraId="3297E71B" w14:textId="77777777" w:rsidR="00F94A61" w:rsidRDefault="00000000">
            <w:pPr>
              <w:spacing w:before="40"/>
            </w:pPr>
            <w:r>
              <w:rPr>
                <w:color w:val="404040"/>
                <w:sz w:val="18"/>
                <w:szCs w:val="18"/>
              </w:rPr>
              <w:t>Every material AI decision must produce a plain-language rationale accessible to non-technical stakeholders.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9CF87" w14:textId="77777777" w:rsidR="00F94A61" w:rsidRDefault="00000000">
            <w:r>
              <w:rPr>
                <w:b/>
                <w:bCs/>
                <w:color w:val="1A3557"/>
                <w:sz w:val="19"/>
                <w:szCs w:val="19"/>
              </w:rPr>
              <w:t>Governance Cadence</w:t>
            </w:r>
          </w:p>
          <w:p w14:paraId="29EB23EB" w14:textId="77777777" w:rsidR="00F94A61" w:rsidRDefault="00000000">
            <w:pPr>
              <w:spacing w:before="40"/>
            </w:pPr>
            <w:r>
              <w:rPr>
                <w:color w:val="404040"/>
                <w:sz w:val="18"/>
                <w:szCs w:val="18"/>
              </w:rPr>
              <w:t>Monthly AI risk committee reviews with real-time dashboards for board-level visibility into model health.</w:t>
            </w:r>
          </w:p>
        </w:tc>
      </w:tr>
      <w:tr w:rsidR="00F94A61" w14:paraId="17B663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94BCD" w14:textId="77777777" w:rsidR="00F94A61" w:rsidRDefault="00000000">
            <w:r>
              <w:rPr>
                <w:b/>
                <w:bCs/>
                <w:color w:val="1A3557"/>
                <w:sz w:val="19"/>
                <w:szCs w:val="19"/>
              </w:rPr>
              <w:t>Stakeholder Reporting</w:t>
            </w:r>
          </w:p>
          <w:p w14:paraId="201DD1B0" w14:textId="77777777" w:rsidR="00F94A61" w:rsidRDefault="00000000">
            <w:pPr>
              <w:spacing w:before="40"/>
            </w:pPr>
            <w:r>
              <w:rPr>
                <w:color w:val="404040"/>
                <w:sz w:val="18"/>
                <w:szCs w:val="18"/>
              </w:rPr>
              <w:t>Quarterly Institutional Trust Scorecards covering accuracy, fairness, explainability, and security metrics.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021B17" w14:textId="77777777" w:rsidR="00F94A61" w:rsidRDefault="00000000">
            <w:r>
              <w:rPr>
                <w:b/>
                <w:bCs/>
                <w:color w:val="1A3557"/>
                <w:sz w:val="19"/>
                <w:szCs w:val="19"/>
              </w:rPr>
              <w:t>Regulatory Readiness</w:t>
            </w:r>
          </w:p>
          <w:p w14:paraId="72D60623" w14:textId="77777777" w:rsidR="00F94A61" w:rsidRDefault="00000000">
            <w:pPr>
              <w:spacing w:before="40"/>
            </w:pPr>
            <w:r>
              <w:rPr>
                <w:color w:val="404040"/>
                <w:sz w:val="18"/>
                <w:szCs w:val="18"/>
              </w:rPr>
              <w:t>Continuous alignment with EU AI Act, NIST AI RMF, and emerging RBI/SEBI AI governance guidelines.</w:t>
            </w:r>
          </w:p>
        </w:tc>
      </w:tr>
    </w:tbl>
    <w:p w14:paraId="4B0795EE" w14:textId="77777777" w:rsidR="00F94A61" w:rsidRDefault="00F94A61">
      <w:pPr>
        <w:spacing w:before="240"/>
      </w:pPr>
    </w:p>
    <w:p w14:paraId="7DE56DA3" w14:textId="77777777" w:rsidR="00557D02" w:rsidRDefault="00557D02">
      <w:pPr>
        <w:spacing w:before="240"/>
      </w:pPr>
    </w:p>
    <w:p w14:paraId="145F3E89" w14:textId="77777777" w:rsidR="00557D02" w:rsidRDefault="00557D02">
      <w:pPr>
        <w:spacing w:before="240"/>
      </w:pPr>
    </w:p>
    <w:p w14:paraId="6B888809" w14:textId="77777777" w:rsidR="00557D02" w:rsidRDefault="00557D02" w:rsidP="00557D02">
      <w:pPr>
        <w:jc w:val="center"/>
      </w:pPr>
      <w:proofErr w:type="spellStart"/>
      <w:r>
        <w:rPr>
          <w:color w:val="666666"/>
          <w:sz w:val="15"/>
          <w:szCs w:val="15"/>
        </w:rPr>
        <w:t>Accredian</w:t>
      </w:r>
      <w:proofErr w:type="spellEnd"/>
      <w:r>
        <w:rPr>
          <w:color w:val="666666"/>
          <w:sz w:val="15"/>
          <w:szCs w:val="15"/>
        </w:rPr>
        <w:t xml:space="preserve"> is a leading Indian institution specializing in AI, Data Science, and Management research and education. Visit us at: </w:t>
      </w:r>
      <w:hyperlink r:id="rId12" w:history="1">
        <w:r>
          <w:rPr>
            <w:color w:val="2E75B6"/>
            <w:sz w:val="15"/>
            <w:szCs w:val="15"/>
            <w:u w:val="single"/>
          </w:rPr>
          <w:t>https://accredian.com</w:t>
        </w:r>
      </w:hyperlink>
    </w:p>
    <w:p w14:paraId="7544CD65" w14:textId="77777777" w:rsidR="00557D02" w:rsidRDefault="00557D02">
      <w:pPr>
        <w:spacing w:before="240"/>
      </w:pPr>
    </w:p>
    <w:p w14:paraId="7D0FAA77" w14:textId="77777777" w:rsidR="00F94A61" w:rsidRDefault="00F94A61">
      <w:pPr>
        <w:pBdr>
          <w:bottom w:val="single" w:sz="8" w:space="1" w:color="D96B1E"/>
        </w:pBdr>
        <w:spacing w:before="80" w:after="80"/>
      </w:pPr>
    </w:p>
    <w:p w14:paraId="5D0BA3B8" w14:textId="77777777" w:rsidR="00F94A61" w:rsidRDefault="00F94A61">
      <w:pPr>
        <w:spacing w:before="160"/>
      </w:pPr>
    </w:p>
    <w:p w14:paraId="2294B9DD" w14:textId="77777777" w:rsidR="00F94A61" w:rsidRDefault="00000000">
      <w:pPr>
        <w:pBdr>
          <w:top w:val="single" w:sz="1" w:space="0" w:color="1A3557"/>
          <w:left w:val="thick" w:sz="20" w:space="0" w:color="D96B1E"/>
          <w:bottom w:val="single" w:sz="1" w:space="0" w:color="1A3557"/>
          <w:right w:val="none" w:sz="0" w:space="0" w:color="FFFFFF"/>
        </w:pBdr>
        <w:shd w:val="clear" w:color="auto" w:fill="1A3557"/>
        <w:spacing w:before="160" w:after="80"/>
        <w:ind w:left="180" w:right="180"/>
      </w:pPr>
      <w:proofErr w:type="gramStart"/>
      <w:r>
        <w:rPr>
          <w:b/>
          <w:bCs/>
          <w:color w:val="FFFFFF"/>
          <w:sz w:val="26"/>
          <w:szCs w:val="26"/>
        </w:rPr>
        <w:t>05  |</w:t>
      </w:r>
      <w:proofErr w:type="gramEnd"/>
      <w:r>
        <w:rPr>
          <w:b/>
          <w:bCs/>
          <w:color w:val="FFFFFF"/>
          <w:sz w:val="26"/>
          <w:szCs w:val="26"/>
        </w:rPr>
        <w:t xml:space="preserve">  Implementation Roadmap</w:t>
      </w:r>
    </w:p>
    <w:p w14:paraId="3EAB1BF7" w14:textId="77777777" w:rsidR="00F94A61" w:rsidRDefault="00F94A6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94A61" w14:paraId="5BE4F1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B3EA" w14:textId="77777777" w:rsidR="00F94A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1: Foundation</w:t>
            </w:r>
          </w:p>
          <w:p w14:paraId="106EE20A" w14:textId="77777777" w:rsidR="00F94A61" w:rsidRDefault="00000000">
            <w:pPr>
              <w:jc w:val="center"/>
            </w:pPr>
            <w:r>
              <w:rPr>
                <w:color w:val="A8C8E8"/>
                <w:sz w:val="17"/>
                <w:szCs w:val="17"/>
              </w:rPr>
              <w:t>Q1 – Q2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5ECC" w14:textId="77777777" w:rsidR="00F94A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2: Operationalise</w:t>
            </w:r>
          </w:p>
          <w:p w14:paraId="6F5B5E52" w14:textId="77777777" w:rsidR="00F94A61" w:rsidRDefault="00000000">
            <w:pPr>
              <w:jc w:val="center"/>
            </w:pPr>
            <w:r>
              <w:rPr>
                <w:color w:val="A8C8E8"/>
                <w:sz w:val="17"/>
                <w:szCs w:val="17"/>
              </w:rPr>
              <w:t>Q3 – Q4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620F" w14:textId="77777777" w:rsidR="00F94A6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3: Scale</w:t>
            </w:r>
          </w:p>
          <w:p w14:paraId="37448D13" w14:textId="77777777" w:rsidR="00F94A61" w:rsidRDefault="00000000">
            <w:pPr>
              <w:jc w:val="center"/>
            </w:pPr>
            <w:r>
              <w:rPr>
                <w:color w:val="A8C8E8"/>
                <w:sz w:val="17"/>
                <w:szCs w:val="17"/>
              </w:rPr>
              <w:t>Year 2</w:t>
            </w:r>
          </w:p>
        </w:tc>
      </w:tr>
      <w:tr w:rsidR="00F94A61" w14:paraId="29F936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1FFBC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Baseline observability tooling</w:t>
            </w:r>
          </w:p>
          <w:p w14:paraId="428CC4A2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Agent Card framework design</w:t>
            </w:r>
          </w:p>
          <w:p w14:paraId="2D606613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Risk tier classification</w:t>
            </w:r>
          </w:p>
          <w:p w14:paraId="6638BDF8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Pilot on 2–3 agents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CAF7B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Deploy auditor agents</w:t>
            </w:r>
          </w:p>
          <w:p w14:paraId="1244DA1A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Cross-agent monitoring live</w:t>
            </w:r>
          </w:p>
          <w:p w14:paraId="766FD7CE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Agent Card registry</w:t>
            </w:r>
          </w:p>
          <w:p w14:paraId="3BB6FB2A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Governance dashboards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E4183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Enterprise-wide rollout</w:t>
            </w:r>
          </w:p>
          <w:p w14:paraId="04B434D5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Regulatory submission pack</w:t>
            </w:r>
          </w:p>
          <w:p w14:paraId="105B74C5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Trust Scorecard published</w:t>
            </w:r>
          </w:p>
          <w:p w14:paraId="1F9B758C" w14:textId="77777777" w:rsidR="00F94A61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19"/>
                <w:szCs w:val="19"/>
              </w:rPr>
              <w:t>Continuous improvement loop</w:t>
            </w:r>
          </w:p>
        </w:tc>
      </w:tr>
    </w:tbl>
    <w:p w14:paraId="58A7FBC2" w14:textId="77777777" w:rsidR="00F94A61" w:rsidRDefault="00F94A61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4A61" w14:paraId="3B9EA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6" w:space="0" w:color="1E7E4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72171F" w14:textId="77777777" w:rsidR="00F94A61" w:rsidRDefault="00000000">
            <w:pPr>
              <w:spacing w:after="80"/>
            </w:pPr>
            <w:r>
              <w:rPr>
                <w:b/>
                <w:bCs/>
                <w:color w:val="1E7E4C"/>
                <w:spacing w:val="80"/>
                <w:sz w:val="20"/>
                <w:szCs w:val="20"/>
              </w:rPr>
              <w:t>OUTCOME</w:t>
            </w:r>
          </w:p>
          <w:p w14:paraId="16EDCB58" w14:textId="77777777" w:rsidR="00F94A61" w:rsidRDefault="00000000">
            <w:r>
              <w:rPr>
                <w:color w:val="404040"/>
                <w:sz w:val="21"/>
                <w:szCs w:val="21"/>
              </w:rPr>
              <w:t xml:space="preserve">An organisation that deploys AI </w:t>
            </w:r>
            <w:proofErr w:type="spellStart"/>
            <w:r>
              <w:rPr>
                <w:color w:val="404040"/>
                <w:sz w:val="21"/>
                <w:szCs w:val="21"/>
              </w:rPr>
              <w:t>TRiSM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achieves a sustainable competitive advantage: autonomous AI systems that operate within defined risk boundaries, are auditable by design, and earn the trust of every stakeholder — enabling confident delegation of high-stakes financial and operational decisions to AI.</w:t>
            </w:r>
          </w:p>
        </w:tc>
      </w:tr>
    </w:tbl>
    <w:p w14:paraId="4FD080D4" w14:textId="77777777" w:rsidR="00000000" w:rsidRDefault="00000000"/>
    <w:p w14:paraId="0006DDE7" w14:textId="77777777" w:rsidR="00557D02" w:rsidRDefault="00557D02"/>
    <w:p w14:paraId="7AF8C533" w14:textId="77777777" w:rsidR="00557D02" w:rsidRDefault="00557D02"/>
    <w:p w14:paraId="302F21DD" w14:textId="77777777" w:rsidR="00557D02" w:rsidRDefault="00557D02"/>
    <w:p w14:paraId="08AB6F93" w14:textId="77777777" w:rsidR="00557D02" w:rsidRDefault="00557D02"/>
    <w:p w14:paraId="4E79A7F8" w14:textId="77777777" w:rsidR="00557D02" w:rsidRDefault="00557D02"/>
    <w:p w14:paraId="731AD046" w14:textId="77777777" w:rsidR="00557D02" w:rsidRDefault="00557D02"/>
    <w:p w14:paraId="486ECD54" w14:textId="77777777" w:rsidR="00557D02" w:rsidRDefault="00557D02"/>
    <w:p w14:paraId="59CBB42B" w14:textId="77777777" w:rsidR="00557D02" w:rsidRDefault="00557D02"/>
    <w:p w14:paraId="01365B1A" w14:textId="77777777" w:rsidR="00557D02" w:rsidRDefault="00557D02"/>
    <w:p w14:paraId="5ED7EF19" w14:textId="77777777" w:rsidR="00557D02" w:rsidRDefault="00557D02"/>
    <w:p w14:paraId="1D80FEF5" w14:textId="77777777" w:rsidR="00557D02" w:rsidRDefault="00557D02"/>
    <w:p w14:paraId="39293587" w14:textId="77777777" w:rsidR="00557D02" w:rsidRDefault="00557D02"/>
    <w:p w14:paraId="394FFDA2" w14:textId="77777777" w:rsidR="00557D02" w:rsidRDefault="00557D02"/>
    <w:p w14:paraId="4B8496C4" w14:textId="77777777" w:rsidR="00557D02" w:rsidRDefault="00557D02"/>
    <w:p w14:paraId="54BBBDCA" w14:textId="77777777" w:rsidR="00557D02" w:rsidRDefault="00557D02"/>
    <w:p w14:paraId="06977562" w14:textId="77777777" w:rsidR="00557D02" w:rsidRDefault="00557D02"/>
    <w:p w14:paraId="4B49043C" w14:textId="77777777" w:rsidR="00557D02" w:rsidRDefault="00557D02"/>
    <w:p w14:paraId="302F7EEC" w14:textId="77777777" w:rsidR="00557D02" w:rsidRDefault="00557D02"/>
    <w:p w14:paraId="0A408C2A" w14:textId="77777777" w:rsidR="00557D02" w:rsidRDefault="00557D02"/>
    <w:p w14:paraId="6CE997A7" w14:textId="77777777" w:rsidR="00557D02" w:rsidRDefault="00557D02"/>
    <w:p w14:paraId="3C944778" w14:textId="77777777" w:rsidR="00557D02" w:rsidRDefault="00557D02"/>
    <w:p w14:paraId="0839115B" w14:textId="77777777" w:rsidR="00557D02" w:rsidRDefault="00557D02"/>
    <w:p w14:paraId="23F6F7BE" w14:textId="77777777" w:rsidR="00557D02" w:rsidRDefault="00557D02"/>
    <w:p w14:paraId="7294AC00" w14:textId="77777777" w:rsidR="00557D02" w:rsidRDefault="00557D02"/>
    <w:p w14:paraId="6B17421D" w14:textId="77777777" w:rsidR="00557D02" w:rsidRDefault="00557D02"/>
    <w:p w14:paraId="076A6502" w14:textId="77777777" w:rsidR="00557D02" w:rsidRDefault="00557D02" w:rsidP="00557D02">
      <w:pPr>
        <w:jc w:val="center"/>
      </w:pPr>
      <w:proofErr w:type="spellStart"/>
      <w:r>
        <w:rPr>
          <w:color w:val="666666"/>
          <w:sz w:val="15"/>
          <w:szCs w:val="15"/>
        </w:rPr>
        <w:t>Accredian</w:t>
      </w:r>
      <w:proofErr w:type="spellEnd"/>
      <w:r>
        <w:rPr>
          <w:color w:val="666666"/>
          <w:sz w:val="15"/>
          <w:szCs w:val="15"/>
        </w:rPr>
        <w:t xml:space="preserve"> is a leading Indian institution specializing in AI, Data Science, and Management research and education. Visit us at: </w:t>
      </w:r>
      <w:hyperlink r:id="rId13" w:history="1">
        <w:r>
          <w:rPr>
            <w:color w:val="2E75B6"/>
            <w:sz w:val="15"/>
            <w:szCs w:val="15"/>
            <w:u w:val="single"/>
          </w:rPr>
          <w:t>https://accredian.com</w:t>
        </w:r>
      </w:hyperlink>
    </w:p>
    <w:p w14:paraId="7A58D7C3" w14:textId="77777777" w:rsidR="00557D02" w:rsidRDefault="00557D02"/>
    <w:sectPr w:rsidR="00557D02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CFABE" w14:textId="77777777" w:rsidR="007F1749" w:rsidRDefault="007F1749">
      <w:r>
        <w:separator/>
      </w:r>
    </w:p>
  </w:endnote>
  <w:endnote w:type="continuationSeparator" w:id="0">
    <w:p w14:paraId="74298047" w14:textId="77777777" w:rsidR="007F1749" w:rsidRDefault="007F1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3BE5" w14:textId="7ABFEED3" w:rsidR="00F94A61" w:rsidRPr="00557D02" w:rsidRDefault="00F94A61" w:rsidP="00557D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46603" w14:textId="61B2AD40" w:rsidR="00F94A61" w:rsidRPr="00557D02" w:rsidRDefault="00F94A61" w:rsidP="00557D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3FC7" w14:textId="77777777" w:rsidR="007F1749" w:rsidRDefault="007F1749">
      <w:r>
        <w:separator/>
      </w:r>
    </w:p>
  </w:footnote>
  <w:footnote w:type="continuationSeparator" w:id="0">
    <w:p w14:paraId="0A1D3860" w14:textId="77777777" w:rsidR="007F1749" w:rsidRDefault="007F1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F9DD5" w14:textId="77777777" w:rsidR="00F94A61" w:rsidRDefault="00000000">
    <w:pPr>
      <w:pBdr>
        <w:bottom w:val="single" w:sz="6" w:space="4" w:color="2E75B6"/>
      </w:pBdr>
      <w:tabs>
        <w:tab w:val="right" w:pos="9026"/>
      </w:tabs>
      <w:spacing w:after="60"/>
    </w:pPr>
    <w:r>
      <w:rPr>
        <w:b/>
        <w:bCs/>
        <w:color w:val="1A3557"/>
        <w:sz w:val="19"/>
        <w:szCs w:val="19"/>
      </w:rPr>
      <w:t xml:space="preserve">AI Trust, Risk &amp; Security Management (AI </w:t>
    </w:r>
    <w:proofErr w:type="spellStart"/>
    <w:r>
      <w:rPr>
        <w:b/>
        <w:bCs/>
        <w:color w:val="1A3557"/>
        <w:sz w:val="19"/>
        <w:szCs w:val="19"/>
      </w:rPr>
      <w:t>TRiSM</w:t>
    </w:r>
    <w:proofErr w:type="spellEnd"/>
    <w:r>
      <w:rPr>
        <w:b/>
        <w:bCs/>
        <w:color w:val="1A3557"/>
        <w:sz w:val="19"/>
        <w:szCs w:val="19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629B" w14:textId="77777777" w:rsidR="00F94A61" w:rsidRDefault="00000000">
    <w:pPr>
      <w:pBdr>
        <w:bottom w:val="single" w:sz="6" w:space="4" w:color="2E75B6"/>
      </w:pBdr>
      <w:tabs>
        <w:tab w:val="right" w:pos="9026"/>
      </w:tabs>
      <w:spacing w:after="60"/>
    </w:pPr>
    <w:r>
      <w:rPr>
        <w:b/>
        <w:bCs/>
        <w:color w:val="1A3557"/>
        <w:sz w:val="19"/>
        <w:szCs w:val="19"/>
      </w:rPr>
      <w:t xml:space="preserve">AI Trust, Risk &amp; Security Management (AI </w:t>
    </w:r>
    <w:proofErr w:type="spellStart"/>
    <w:r>
      <w:rPr>
        <w:b/>
        <w:bCs/>
        <w:color w:val="1A3557"/>
        <w:sz w:val="19"/>
        <w:szCs w:val="19"/>
      </w:rPr>
      <w:t>TRiSM</w:t>
    </w:r>
    <w:proofErr w:type="spellEnd"/>
    <w:r>
      <w:rPr>
        <w:b/>
        <w:bCs/>
        <w:color w:val="1A3557"/>
        <w:sz w:val="19"/>
        <w:szCs w:val="19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BE7B" w14:textId="77777777" w:rsidR="00F94A61" w:rsidRDefault="00000000">
    <w:pPr>
      <w:pBdr>
        <w:bottom w:val="single" w:sz="6" w:space="4" w:color="2E75B6"/>
      </w:pBdr>
      <w:tabs>
        <w:tab w:val="right" w:pos="9026"/>
      </w:tabs>
      <w:spacing w:after="60"/>
    </w:pPr>
    <w:r>
      <w:rPr>
        <w:b/>
        <w:bCs/>
        <w:color w:val="1A3557"/>
        <w:sz w:val="19"/>
        <w:szCs w:val="19"/>
      </w:rPr>
      <w:t xml:space="preserve">AI Trust, Risk &amp; Security Management (AI </w:t>
    </w:r>
    <w:proofErr w:type="spellStart"/>
    <w:r>
      <w:rPr>
        <w:b/>
        <w:bCs/>
        <w:color w:val="1A3557"/>
        <w:sz w:val="19"/>
        <w:szCs w:val="19"/>
      </w:rPr>
      <w:t>TRiSM</w:t>
    </w:r>
    <w:proofErr w:type="spellEnd"/>
    <w:r>
      <w:rPr>
        <w:b/>
        <w:bCs/>
        <w:color w:val="1A3557"/>
        <w:sz w:val="19"/>
        <w:szCs w:val="19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0347"/>
    <w:multiLevelType w:val="hybridMultilevel"/>
    <w:tmpl w:val="E77C44C2"/>
    <w:lvl w:ilvl="0" w:tplc="3702965C">
      <w:start w:val="1"/>
      <w:numFmt w:val="bullet"/>
      <w:lvlText w:val="•"/>
      <w:lvlJc w:val="left"/>
      <w:pPr>
        <w:ind w:left="540" w:hanging="260"/>
      </w:pPr>
    </w:lvl>
    <w:lvl w:ilvl="1" w:tplc="BE1CED96">
      <w:numFmt w:val="decimal"/>
      <w:lvlText w:val=""/>
      <w:lvlJc w:val="left"/>
    </w:lvl>
    <w:lvl w:ilvl="2" w:tplc="2550D290">
      <w:numFmt w:val="decimal"/>
      <w:lvlText w:val=""/>
      <w:lvlJc w:val="left"/>
    </w:lvl>
    <w:lvl w:ilvl="3" w:tplc="7E9CAC60">
      <w:numFmt w:val="decimal"/>
      <w:lvlText w:val=""/>
      <w:lvlJc w:val="left"/>
    </w:lvl>
    <w:lvl w:ilvl="4" w:tplc="877E78D4">
      <w:numFmt w:val="decimal"/>
      <w:lvlText w:val=""/>
      <w:lvlJc w:val="left"/>
    </w:lvl>
    <w:lvl w:ilvl="5" w:tplc="D94CEC06">
      <w:numFmt w:val="decimal"/>
      <w:lvlText w:val=""/>
      <w:lvlJc w:val="left"/>
    </w:lvl>
    <w:lvl w:ilvl="6" w:tplc="6296AD52">
      <w:numFmt w:val="decimal"/>
      <w:lvlText w:val=""/>
      <w:lvlJc w:val="left"/>
    </w:lvl>
    <w:lvl w:ilvl="7" w:tplc="C03A24A2">
      <w:numFmt w:val="decimal"/>
      <w:lvlText w:val=""/>
      <w:lvlJc w:val="left"/>
    </w:lvl>
    <w:lvl w:ilvl="8" w:tplc="B19679DC">
      <w:numFmt w:val="decimal"/>
      <w:lvlText w:val=""/>
      <w:lvlJc w:val="left"/>
    </w:lvl>
  </w:abstractNum>
  <w:abstractNum w:abstractNumId="1" w15:restartNumberingAfterBreak="0">
    <w:nsid w:val="37986EBF"/>
    <w:multiLevelType w:val="hybridMultilevel"/>
    <w:tmpl w:val="C92C15D2"/>
    <w:lvl w:ilvl="0" w:tplc="6EBE019C">
      <w:start w:val="1"/>
      <w:numFmt w:val="bullet"/>
      <w:lvlText w:val="●"/>
      <w:lvlJc w:val="left"/>
      <w:pPr>
        <w:ind w:left="720" w:hanging="360"/>
      </w:pPr>
    </w:lvl>
    <w:lvl w:ilvl="1" w:tplc="1938F764">
      <w:start w:val="1"/>
      <w:numFmt w:val="bullet"/>
      <w:lvlText w:val="○"/>
      <w:lvlJc w:val="left"/>
      <w:pPr>
        <w:ind w:left="1440" w:hanging="360"/>
      </w:pPr>
    </w:lvl>
    <w:lvl w:ilvl="2" w:tplc="5AA84F6C">
      <w:start w:val="1"/>
      <w:numFmt w:val="bullet"/>
      <w:lvlText w:val="■"/>
      <w:lvlJc w:val="left"/>
      <w:pPr>
        <w:ind w:left="2160" w:hanging="360"/>
      </w:pPr>
    </w:lvl>
    <w:lvl w:ilvl="3" w:tplc="33164B12">
      <w:start w:val="1"/>
      <w:numFmt w:val="bullet"/>
      <w:lvlText w:val="●"/>
      <w:lvlJc w:val="left"/>
      <w:pPr>
        <w:ind w:left="2880" w:hanging="360"/>
      </w:pPr>
    </w:lvl>
    <w:lvl w:ilvl="4" w:tplc="49D4D1AE">
      <w:start w:val="1"/>
      <w:numFmt w:val="bullet"/>
      <w:lvlText w:val="○"/>
      <w:lvlJc w:val="left"/>
      <w:pPr>
        <w:ind w:left="3600" w:hanging="360"/>
      </w:pPr>
    </w:lvl>
    <w:lvl w:ilvl="5" w:tplc="B888D2A6">
      <w:start w:val="1"/>
      <w:numFmt w:val="bullet"/>
      <w:lvlText w:val="■"/>
      <w:lvlJc w:val="left"/>
      <w:pPr>
        <w:ind w:left="4320" w:hanging="360"/>
      </w:pPr>
    </w:lvl>
    <w:lvl w:ilvl="6" w:tplc="B624305E">
      <w:start w:val="1"/>
      <w:numFmt w:val="bullet"/>
      <w:lvlText w:val="●"/>
      <w:lvlJc w:val="left"/>
      <w:pPr>
        <w:ind w:left="5040" w:hanging="360"/>
      </w:pPr>
    </w:lvl>
    <w:lvl w:ilvl="7" w:tplc="CE341DE8">
      <w:start w:val="1"/>
      <w:numFmt w:val="bullet"/>
      <w:lvlText w:val="●"/>
      <w:lvlJc w:val="left"/>
      <w:pPr>
        <w:ind w:left="5760" w:hanging="360"/>
      </w:pPr>
    </w:lvl>
    <w:lvl w:ilvl="8" w:tplc="C128CD6C">
      <w:start w:val="1"/>
      <w:numFmt w:val="bullet"/>
      <w:lvlText w:val="●"/>
      <w:lvlJc w:val="left"/>
      <w:pPr>
        <w:ind w:left="6480" w:hanging="360"/>
      </w:pPr>
    </w:lvl>
  </w:abstractNum>
  <w:num w:numId="1" w16cid:durableId="1222719004">
    <w:abstractNumId w:val="1"/>
    <w:lvlOverride w:ilvl="0">
      <w:startOverride w:val="1"/>
    </w:lvlOverride>
  </w:num>
  <w:num w:numId="2" w16cid:durableId="2078628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61"/>
    <w:rsid w:val="0031004E"/>
    <w:rsid w:val="00557D02"/>
    <w:rsid w:val="007F1749"/>
    <w:rsid w:val="00F9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664A"/>
  <w15:docId w15:val="{3DCC086C-58AB-4159-AFF7-CAEB3131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7D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D02"/>
  </w:style>
  <w:style w:type="paragraph" w:styleId="Footer">
    <w:name w:val="footer"/>
    <w:basedOn w:val="Normal"/>
    <w:link w:val="FooterChar"/>
    <w:uiPriority w:val="99"/>
    <w:unhideWhenUsed/>
    <w:rsid w:val="00557D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accredia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credian.com" TargetMode="External"/><Relationship Id="rId12" Type="http://schemas.openxmlformats.org/officeDocument/2006/relationships/hyperlink" Target="https://accredian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accredian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Sharma</cp:lastModifiedBy>
  <cp:revision>2</cp:revision>
  <dcterms:created xsi:type="dcterms:W3CDTF">2026-04-15T11:22:00Z</dcterms:created>
  <dcterms:modified xsi:type="dcterms:W3CDTF">2026-04-15T11:26:00Z</dcterms:modified>
</cp:coreProperties>
</file>