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C55E" w:sz="4"/>
              <w:left w:val="single" w:color="22C55E" w:sz="24"/>
              <w:bottom w:val="single" w:color="22C55E" w:sz="4"/>
              <w:right w:val="single" w:color="22C55E" w:sz="4"/>
            </w:tcBorders>
            <w:shd w:fill="0C1A0C" w:val="clear"/>
            <w:tcMar>
              <w:top w:type="dxa" w:w="180"/>
              <w:left w:type="dxa" w:w="400"/>
              <w:bottom w:type="dxa" w:w="180"/>
              <w:right w:type="dxa" w:w="400"/>
            </w:tcMar>
            <w:vAlign w:val="center"/>
          </w:tcPr>
          <w:p>
            <w:pPr>
              <w:spacing w:after="50"/>
              <w:jc w:val="center"/>
            </w:pPr>
            <w:r>
              <w:rPr>
                <w:rFonts w:ascii="Arial" w:cs="Arial" w:eastAsia="Arial" w:hAnsi="Arial"/>
                <w:b/>
                <w:bCs/>
                <w:color w:val="FFFFFF"/>
                <w:sz w:val="50"/>
                <w:szCs w:val="50"/>
              </w:rPr>
              <w:t xml:space="preserve">🎯  RLHF, Alignment &amp; Post-Training</w:t>
            </w:r>
          </w:p>
          <w:p>
            <w:pPr>
              <w:jc w:val="center"/>
            </w:pPr>
            <w:r>
              <w:rPr>
                <w:rFonts w:ascii="Arial" w:cs="Arial" w:eastAsia="Arial" w:hAnsi="Arial"/>
                <w:i/>
                <w:iCs/>
                <w:color w:val="86EFAC"/>
                <w:sz w:val="21"/>
                <w:szCs w:val="21"/>
              </w:rPr>
              <w:t xml:space="preserve">Deep-dive reference for aligning large language models  •  2026</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16"/>
              <w:bottom w:val="none" w:color="FFFFFF" w:sz="0"/>
              <w:right w:val="none" w:color="FFFFFF" w:sz="0"/>
            </w:tcBorders>
            <w:shd w:fill="132B13" w:val="clear"/>
            <w:tcMar>
              <w:top w:type="dxa" w:w="80"/>
              <w:left w:type="dxa" w:w="200"/>
              <w:bottom w:type="dxa" w:w="80"/>
              <w:right w:type="dxa" w:w="200"/>
            </w:tcMar>
          </w:tcPr>
          <w:p>
            <w:r>
              <w:rPr>
                <w:rFonts w:ascii="Arial" w:cs="Arial" w:eastAsia="Arial" w:hAnsi="Arial"/>
                <w:b/>
                <w:bCs/>
                <w:color w:val="86EFAC"/>
                <w:sz w:val="24"/>
                <w:szCs w:val="24"/>
              </w:rPr>
              <w:t xml:space="preserve">💡  Why Alignment &amp; Post-Training Matter</w:t>
            </w:r>
          </w:p>
        </w:tc>
      </w:tr>
    </w:tbl>
    <w:p>
      <w:pPr>
        <w:spacing w:before="8" w:after="8"/>
      </w:pPr>
      <w:r>
        <w:t xml:space="preserve"/>
      </w:r>
    </w:p>
    <w:p>
      <w:pPr>
        <w:spacing w:before="0" w:after="30"/>
      </w:pPr>
      <w:r>
        <w:rPr>
          <w:rFonts w:ascii="Arial" w:cs="Arial" w:eastAsia="Arial" w:hAnsi="Arial"/>
          <w:color w:val="4B5563"/>
          <w:sz w:val="19"/>
          <w:szCs w:val="19"/>
        </w:rPr>
        <w:t xml:space="preserve">A pre-trained LLM is a powerful next-token predictor — but not necessarily helpful, honest, or safe. Post-training uses human feedback, preference data, and constitutional principles to steer model behaviour. RLHF and its successors (DPO, RLAIF, Constitutional AI) are now the primary tools for turning raw capability into deployed, trustworthy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16"/>
              <w:bottom w:val="none" w:color="FFFFFF" w:sz="0"/>
              <w:right w:val="none" w:color="FFFFFF" w:sz="0"/>
            </w:tcBorders>
            <w:shd w:fill="132B13" w:val="clear"/>
            <w:tcMar>
              <w:top w:type="dxa" w:w="80"/>
              <w:left w:type="dxa" w:w="200"/>
              <w:bottom w:type="dxa" w:w="80"/>
              <w:right w:type="dxa" w:w="200"/>
            </w:tcMar>
          </w:tcPr>
          <w:p>
            <w:r>
              <w:rPr>
                <w:rFonts w:ascii="Arial" w:cs="Arial" w:eastAsia="Arial" w:hAnsi="Arial"/>
                <w:b/>
                <w:bCs/>
                <w:color w:val="86EFAC"/>
                <w:sz w:val="24"/>
                <w:szCs w:val="24"/>
              </w:rPr>
              <w:t xml:space="preserve">⚙️  The RLHF Pipeline</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Stage</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What Happens</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Key Details</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1. Supervised Fine-Tuning (SFT)</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Fine-tune base model on high-quality instruction-response pairs</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Curated human-written demonstrations; 10K–100K examples</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2. Reward Model Training</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Train a model to score (prompt, response) pairs from human preferences</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Bradley-Terry model; trained on comparison pairs, not absolute scores</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3. RL Optimisation (PPO)</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Use reward model as environment; optimise policy with Proximal Policy Optimisation</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KL penalty vs SFT reference prevents reward hacking</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4. Evaluation &amp; Red-Teaming</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Assess alignment: helpfulness, honesty, harmlessness (HHH)</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Human eval + automated benchmarks + adversarial probing</w:t>
            </w:r>
          </w:p>
        </w:tc>
      </w:tr>
    </w:tbl>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16"/>
              <w:bottom w:val="none" w:color="FFFFFF" w:sz="0"/>
              <w:right w:val="none" w:color="FFFFFF" w:sz="0"/>
            </w:tcBorders>
            <w:shd w:fill="132B13" w:val="clear"/>
            <w:tcMar>
              <w:top w:type="dxa" w:w="80"/>
              <w:left w:type="dxa" w:w="200"/>
              <w:bottom w:type="dxa" w:w="80"/>
              <w:right w:type="dxa" w:w="200"/>
            </w:tcMar>
          </w:tcPr>
          <w:p>
            <w:r>
              <w:rPr>
                <w:rFonts w:ascii="Arial" w:cs="Arial" w:eastAsia="Arial" w:hAnsi="Arial"/>
                <w:b/>
                <w:bCs/>
                <w:color w:val="86EFAC"/>
                <w:sz w:val="24"/>
                <w:szCs w:val="24"/>
              </w:rPr>
              <w:t xml:space="preserve">🔄  RLHF Alternatives &amp; Successors</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Method</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Year</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How It Works &amp; Advantage</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DPO (Direct Preference Optimisation)</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2023</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Skips reward model entirely; optimises preference log-ratio directly — simpler, stable</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IPO (Identity Preference Optimisation)</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2023</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Fixes DPO overfitting; adds regularisation via identity mapping constraint</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KTO (Kahneman-Tversky Optimisation)</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2024</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Uses unpaired feedback (binary good/bad); no comparison pairs needed</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RLAIF (RL from AI Feedback)</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2023</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AI labeller (Claude/GPT-4) replaces human raters; scalable and cheap</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Constitutional AI (CAI)</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2022</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Model critiques+revises own outputs against written principles; reduces RLHF human cost</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GRPO (Group Relative Policy Opt.)</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2024</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DeepSeek method: group-normalised rewards; no value function needed; used in R1</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Rejection Sampling Fine-Tuning</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2023</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Sample N responses, filter by reward model, fine-tune on survivors — iterative</w:t>
            </w:r>
          </w:p>
        </w:tc>
      </w:tr>
    </w:tbl>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16"/>
              <w:bottom w:val="none" w:color="FFFFFF" w:sz="0"/>
              <w:right w:val="none" w:color="FFFFFF" w:sz="0"/>
            </w:tcBorders>
            <w:shd w:fill="132B13" w:val="clear"/>
            <w:tcMar>
              <w:top w:type="dxa" w:w="80"/>
              <w:left w:type="dxa" w:w="200"/>
              <w:bottom w:type="dxa" w:w="80"/>
              <w:right w:type="dxa" w:w="200"/>
            </w:tcMar>
          </w:tcPr>
          <w:p>
            <w:r>
              <w:rPr>
                <w:rFonts w:ascii="Arial" w:cs="Arial" w:eastAsia="Arial" w:hAnsi="Arial"/>
                <w:b/>
                <w:bCs/>
                <w:color w:val="86EFAC"/>
                <w:sz w:val="24"/>
                <w:szCs w:val="24"/>
              </w:rPr>
              <w:t xml:space="preserve">🏗️  Reward Modelling Deep Dive</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DBB" w:sz="2"/>
              <w:left w:val="single" w:color="BBDDBB" w:sz="2"/>
              <w:bottom w:val="single" w:color="BBDDBB" w:sz="2"/>
              <w:right w:val="single" w:color="BBDDBB" w:sz="2"/>
            </w:tcBorders>
            <w:shd w:fill="F0FDF4" w:val="clear"/>
            <w:tcMar>
              <w:top w:type="dxa" w:w="50"/>
              <w:left w:type="dxa" w:w="120"/>
              <w:bottom w:type="dxa" w:w="50"/>
              <w:right w:type="dxa" w:w="130"/>
            </w:tcMar>
          </w:tcPr>
          <w:p>
            <w:pPr>
              <w:spacing w:before="20" w:after="20"/>
            </w:pPr>
            <w:r>
              <w:rPr>
                <w:rFonts w:ascii="Arial" w:cs="Arial" w:eastAsia="Arial" w:hAnsi="Arial"/>
                <w:b/>
                <w:bCs/>
                <w:color w:val="22C55E"/>
                <w:sz w:val="17"/>
                <w:szCs w:val="17"/>
              </w:rPr>
              <w:t xml:space="preserve">Bradley-Terry Model  </w:t>
            </w:r>
            <w:r>
              <w:rPr>
                <w:rFonts w:ascii="Arial" w:cs="Arial" w:eastAsia="Arial" w:hAnsi="Arial"/>
                <w:color w:val="4B5563"/>
                <w:sz w:val="17"/>
                <w:szCs w:val="17"/>
              </w:rPr>
              <w:t xml:space="preserve">P(A&gt;B) = sigmoid(r(A) - r(B)); trained on pairwise preference comparisons.</w:t>
            </w:r>
          </w:p>
          <w:p>
            <w:pPr>
              <w:spacing w:before="20" w:after="20"/>
            </w:pPr>
            <w:r>
              <w:rPr>
                <w:rFonts w:ascii="Arial" w:cs="Arial" w:eastAsia="Arial" w:hAnsi="Arial"/>
                <w:b/>
                <w:bCs/>
                <w:color w:val="22C55E"/>
                <w:sz w:val="17"/>
                <w:szCs w:val="17"/>
              </w:rPr>
              <w:t xml:space="preserve">Margin Loss  </w:t>
            </w:r>
            <w:r>
              <w:rPr>
                <w:rFonts w:ascii="Arial" w:cs="Arial" w:eastAsia="Arial" w:hAnsi="Arial"/>
                <w:color w:val="4B5563"/>
                <w:sz w:val="17"/>
                <w:szCs w:val="17"/>
              </w:rPr>
              <w:t xml:space="preserve">Loss = -log sigmoid(r_w - r_l - margin); margin improves separation.</w:t>
            </w:r>
          </w:p>
          <w:p>
            <w:pPr>
              <w:spacing w:before="20" w:after="20"/>
            </w:pPr>
            <w:r>
              <w:rPr>
                <w:rFonts w:ascii="Arial" w:cs="Arial" w:eastAsia="Arial" w:hAnsi="Arial"/>
                <w:b/>
                <w:bCs/>
                <w:color w:val="22C55E"/>
                <w:sz w:val="17"/>
                <w:szCs w:val="17"/>
              </w:rPr>
              <w:t xml:space="preserve">Ensembling  </w:t>
            </w:r>
            <w:r>
              <w:rPr>
                <w:rFonts w:ascii="Arial" w:cs="Arial" w:eastAsia="Arial" w:hAnsi="Arial"/>
                <w:color w:val="4B5563"/>
                <w:sz w:val="17"/>
                <w:szCs w:val="17"/>
              </w:rPr>
              <w:t xml:space="preserve">Multiple reward models averaged; reduces single-model reward hacking risk.</w:t>
            </w:r>
          </w:p>
          <w:p>
            <w:pPr>
              <w:spacing w:before="20" w:after="20"/>
            </w:pPr>
            <w:r>
              <w:rPr>
                <w:rFonts w:ascii="Arial" w:cs="Arial" w:eastAsia="Arial" w:hAnsi="Arial"/>
                <w:b/>
                <w:bCs/>
                <w:color w:val="22C55E"/>
                <w:sz w:val="17"/>
                <w:szCs w:val="17"/>
              </w:rPr>
              <w:t xml:space="preserve">Generalisation  </w:t>
            </w:r>
            <w:r>
              <w:rPr>
                <w:rFonts w:ascii="Arial" w:cs="Arial" w:eastAsia="Arial" w:hAnsi="Arial"/>
                <w:color w:val="4B5563"/>
                <w:sz w:val="17"/>
                <w:szCs w:val="17"/>
              </w:rPr>
              <w:t xml:space="preserve">RM must generalise beyond training prompts — OOD failure is common.</w:t>
            </w:r>
          </w:p>
        </w:tc>
        <w:tc>
          <w:tcPr>
            <w:tcW w:type="dxa" w:w="4680"/>
            <w:tcBorders>
              <w:top w:val="single" w:color="BBDDBB" w:sz="2"/>
              <w:left w:val="single" w:color="BBDDBB" w:sz="2"/>
              <w:bottom w:val="single" w:color="BBDDBB" w:sz="2"/>
              <w:right w:val="single" w:color="BBDDBB" w:sz="2"/>
            </w:tcBorders>
            <w:shd w:fill="F0FDF4" w:val="clear"/>
            <w:tcMar>
              <w:top w:type="dxa" w:w="50"/>
              <w:left w:type="dxa" w:w="120"/>
              <w:bottom w:type="dxa" w:w="50"/>
              <w:right w:type="dxa" w:w="130"/>
            </w:tcMar>
          </w:tcPr>
          <w:p>
            <w:pPr>
              <w:spacing w:before="20" w:after="20"/>
            </w:pPr>
            <w:r>
              <w:rPr>
                <w:rFonts w:ascii="Arial" w:cs="Arial" w:eastAsia="Arial" w:hAnsi="Arial"/>
                <w:b/>
                <w:bCs/>
                <w:color w:val="22C55E"/>
                <w:sz w:val="17"/>
                <w:szCs w:val="17"/>
              </w:rPr>
              <w:t xml:space="preserve">Reward Hacking  </w:t>
            </w:r>
            <w:r>
              <w:rPr>
                <w:rFonts w:ascii="Arial" w:cs="Arial" w:eastAsia="Arial" w:hAnsi="Arial"/>
                <w:color w:val="4B5563"/>
                <w:sz w:val="17"/>
                <w:szCs w:val="17"/>
              </w:rPr>
              <w:t xml:space="preserve">Policy exploits RM blind spots; KL penalty vs SFT reference is key defence.</w:t>
            </w:r>
          </w:p>
          <w:p>
            <w:pPr>
              <w:spacing w:before="20" w:after="20"/>
            </w:pPr>
            <w:r>
              <w:rPr>
                <w:rFonts w:ascii="Arial" w:cs="Arial" w:eastAsia="Arial" w:hAnsi="Arial"/>
                <w:b/>
                <w:bCs/>
                <w:color w:val="22C55E"/>
                <w:sz w:val="17"/>
                <w:szCs w:val="17"/>
              </w:rPr>
              <w:t xml:space="preserve">Goodhart's Law  </w:t>
            </w:r>
            <w:r>
              <w:rPr>
                <w:rFonts w:ascii="Arial" w:cs="Arial" w:eastAsia="Arial" w:hAnsi="Arial"/>
                <w:color w:val="4B5563"/>
                <w:sz w:val="17"/>
                <w:szCs w:val="17"/>
              </w:rPr>
              <w:t xml:space="preserve">When RM becomes optimisation target, it ceases to be a good proxy.</w:t>
            </w:r>
          </w:p>
          <w:p>
            <w:pPr>
              <w:spacing w:before="20" w:after="20"/>
            </w:pPr>
            <w:r>
              <w:rPr>
                <w:rFonts w:ascii="Arial" w:cs="Arial" w:eastAsia="Arial" w:hAnsi="Arial"/>
                <w:b/>
                <w:bCs/>
                <w:color w:val="22C55E"/>
                <w:sz w:val="17"/>
                <w:szCs w:val="17"/>
              </w:rPr>
              <w:t xml:space="preserve">AI Feedback (RLAIF)  </w:t>
            </w:r>
            <w:r>
              <w:rPr>
                <w:rFonts w:ascii="Arial" w:cs="Arial" w:eastAsia="Arial" w:hAnsi="Arial"/>
                <w:color w:val="4B5563"/>
                <w:sz w:val="17"/>
                <w:szCs w:val="17"/>
              </w:rPr>
              <w:t xml:space="preserve">LLM-as-labeller with structured rubrics; Constitutional AI variant.</w:t>
            </w:r>
          </w:p>
          <w:p>
            <w:pPr>
              <w:spacing w:before="20" w:after="20"/>
            </w:pPr>
            <w:r>
              <w:rPr>
                <w:rFonts w:ascii="Arial" w:cs="Arial" w:eastAsia="Arial" w:hAnsi="Arial"/>
                <w:b/>
                <w:bCs/>
                <w:color w:val="22C55E"/>
                <w:sz w:val="17"/>
                <w:szCs w:val="17"/>
              </w:rPr>
              <w:t xml:space="preserve">Process Reward Models  </w:t>
            </w:r>
            <w:r>
              <w:rPr>
                <w:rFonts w:ascii="Arial" w:cs="Arial" w:eastAsia="Arial" w:hAnsi="Arial"/>
                <w:color w:val="4B5563"/>
                <w:sz w:val="17"/>
                <w:szCs w:val="17"/>
              </w:rPr>
              <w:t xml:space="preserve">Score reasoning steps (not just final answer); used in math/code RLHF.</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C55E" w:sz="6" w:space="1"/>
              <w:left w:val="none" w:color="FFFFFF" w:sz="0"/>
              <w:bottom w:val="none" w:color="FFFFFF" w:sz="0"/>
              <w:right w:val="none" w:color="FFFFFF" w:sz="0"/>
            </w:tcBorders>
            <w:shd w:fill="F0FDF4" w:val="clear"/>
            <w:tcMar>
              <w:top w:type="dxa" w:w="70"/>
              <w:left w:type="dxa" w:w="200"/>
              <w:bottom w:type="dxa" w:w="70"/>
              <w:right w:type="dxa" w:w="200"/>
            </w:tcMar>
          </w:tcPr>
          <w:p>
            <w:pPr>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9jsz3ef4knew1kv3s5pra">
              <w:r>
                <w:rPr>
                  <w:rStyle w:val="Hyperlink"/>
                  <w:rFonts w:ascii="Arial" w:cs="Arial" w:eastAsia="Arial" w:hAnsi="Arial"/>
                  <w:b/>
                  <w:bCs/>
                  <w:sz w:val="15"/>
                  <w:szCs w:val="15"/>
                </w:rPr>
                <w:t xml:space="preserve">https://accredian.com</w:t>
              </w:r>
            </w:hyperlink>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16"/>
              <w:bottom w:val="none" w:color="FFFFFF" w:sz="0"/>
              <w:right w:val="none" w:color="FFFFFF" w:sz="0"/>
            </w:tcBorders>
            <w:shd w:fill="132B13" w:val="clear"/>
            <w:tcMar>
              <w:top w:type="dxa" w:w="80"/>
              <w:left w:type="dxa" w:w="200"/>
              <w:bottom w:type="dxa" w:w="80"/>
              <w:right w:type="dxa" w:w="200"/>
            </w:tcMar>
          </w:tcPr>
          <w:p>
            <w:r>
              <w:rPr>
                <w:rFonts w:ascii="Arial" w:cs="Arial" w:eastAsia="Arial" w:hAnsi="Arial"/>
                <w:b/>
                <w:bCs/>
                <w:color w:val="86EFAC"/>
                <w:sz w:val="24"/>
                <w:szCs w:val="24"/>
              </w:rPr>
              <w:t xml:space="preserve">📐  DPO vs PPO — Technical Comparison</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Dimension</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PPO (RLHF)</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DPO</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Reward Model</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Explicit; trained separately; kept frozen during RL</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Implicit; reward is derived from policy ratio analytically</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Training Complexity</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High: 4 models in memory (policy, ref, RM, value)</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Low: 2 models (policy + reference policy)</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Stability</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Sensitive to hyperparams; clip ratio and KL crucial</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More stable; no reward hacking; easier to tune</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Data Format</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Online (rollouts from live policy)</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Offline (pre-collected preference pairs)</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Compute Cost</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High; requires rollout generation at each step</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Low; standard supervised learning loop</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Quality Ceiling</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Generally higher; online exploration helps</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May underfit complex preferences; no exploration</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Adopted By</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ChatGPT (original), InstructGPT, early Claude</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Llama 3, Zephyr, many open models</w:t>
            </w:r>
          </w:p>
        </w:tc>
      </w:tr>
    </w:tbl>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16"/>
              <w:bottom w:val="none" w:color="FFFFFF" w:sz="0"/>
              <w:right w:val="none" w:color="FFFFFF" w:sz="0"/>
            </w:tcBorders>
            <w:shd w:fill="132B13" w:val="clear"/>
            <w:tcMar>
              <w:top w:type="dxa" w:w="80"/>
              <w:left w:type="dxa" w:w="200"/>
              <w:bottom w:type="dxa" w:w="80"/>
              <w:right w:type="dxa" w:w="200"/>
            </w:tcMar>
          </w:tcPr>
          <w:p>
            <w:r>
              <w:rPr>
                <w:rFonts w:ascii="Arial" w:cs="Arial" w:eastAsia="Arial" w:hAnsi="Arial"/>
                <w:b/>
                <w:bCs/>
                <w:color w:val="86EFAC"/>
                <w:sz w:val="24"/>
                <w:szCs w:val="24"/>
              </w:rPr>
              <w:t xml:space="preserve">🔐  Constitutional AI &amp; Scalable Oversight</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DBB" w:sz="2"/>
              <w:left w:val="single" w:color="BBDDBB" w:sz="2"/>
              <w:bottom w:val="single" w:color="BBDDBB" w:sz="2"/>
              <w:right w:val="single" w:color="BBDDBB" w:sz="2"/>
            </w:tcBorders>
            <w:shd w:fill="F0FDF4" w:val="clear"/>
            <w:tcMar>
              <w:top w:type="dxa" w:w="50"/>
              <w:left w:type="dxa" w:w="120"/>
              <w:bottom w:type="dxa" w:w="50"/>
              <w:right w:type="dxa" w:w="130"/>
            </w:tcMar>
          </w:tcPr>
          <w:p>
            <w:pPr>
              <w:spacing w:before="20" w:after="20"/>
            </w:pPr>
            <w:r>
              <w:rPr>
                <w:rFonts w:ascii="Arial" w:cs="Arial" w:eastAsia="Arial" w:hAnsi="Arial"/>
                <w:b/>
                <w:bCs/>
                <w:color w:val="22C55E"/>
                <w:sz w:val="17"/>
                <w:szCs w:val="17"/>
              </w:rPr>
              <w:t xml:space="preserve">Constitutional AI  </w:t>
            </w:r>
            <w:r>
              <w:rPr>
                <w:rFonts w:ascii="Arial" w:cs="Arial" w:eastAsia="Arial" w:hAnsi="Arial"/>
                <w:color w:val="4B5563"/>
                <w:sz w:val="17"/>
                <w:szCs w:val="17"/>
              </w:rPr>
              <w:t xml:space="preserve">Model critiques its own outputs against written principles, then revises — reduces harmful content without human labels for harm.</w:t>
            </w:r>
          </w:p>
          <w:p>
            <w:pPr>
              <w:spacing w:before="20" w:after="20"/>
            </w:pPr>
            <w:r>
              <w:rPr>
                <w:rFonts w:ascii="Arial" w:cs="Arial" w:eastAsia="Arial" w:hAnsi="Arial"/>
                <w:b/>
                <w:bCs/>
                <w:color w:val="22C55E"/>
                <w:sz w:val="17"/>
                <w:szCs w:val="17"/>
              </w:rPr>
              <w:t xml:space="preserve">Scalable Oversight  </w:t>
            </w:r>
            <w:r>
              <w:rPr>
                <w:rFonts w:ascii="Arial" w:cs="Arial" w:eastAsia="Arial" w:hAnsi="Arial"/>
                <w:color w:val="4B5563"/>
                <w:sz w:val="17"/>
                <w:szCs w:val="17"/>
              </w:rPr>
              <w:t xml:space="preserve">Techniques to maintain human control as AI surpasses human evaluation speed — debate, amplification, weak supervision.</w:t>
            </w:r>
          </w:p>
          <w:p>
            <w:pPr>
              <w:spacing w:before="20" w:after="20"/>
            </w:pPr>
            <w:r>
              <w:rPr>
                <w:rFonts w:ascii="Arial" w:cs="Arial" w:eastAsia="Arial" w:hAnsi="Arial"/>
                <w:b/>
                <w:bCs/>
                <w:color w:val="22C55E"/>
                <w:sz w:val="17"/>
                <w:szCs w:val="17"/>
              </w:rPr>
              <w:t xml:space="preserve">AI Debate  </w:t>
            </w:r>
            <w:r>
              <w:rPr>
                <w:rFonts w:ascii="Arial" w:cs="Arial" w:eastAsia="Arial" w:hAnsi="Arial"/>
                <w:color w:val="4B5563"/>
                <w:sz w:val="17"/>
                <w:szCs w:val="17"/>
              </w:rPr>
              <w:t xml:space="preserve">Two AI agents argue; human judges winner — truth-seeking through adversarial dialogue.</w:t>
            </w:r>
          </w:p>
          <w:p>
            <w:pPr>
              <w:spacing w:before="20" w:after="20"/>
            </w:pPr>
            <w:r>
              <w:rPr>
                <w:rFonts w:ascii="Arial" w:cs="Arial" w:eastAsia="Arial" w:hAnsi="Arial"/>
                <w:b/>
                <w:bCs/>
                <w:color w:val="22C55E"/>
                <w:sz w:val="17"/>
                <w:szCs w:val="17"/>
              </w:rPr>
              <w:t xml:space="preserve">Recursive Reward Modelling  </w:t>
            </w:r>
            <w:r>
              <w:rPr>
                <w:rFonts w:ascii="Arial" w:cs="Arial" w:eastAsia="Arial" w:hAnsi="Arial"/>
                <w:color w:val="4B5563"/>
                <w:sz w:val="17"/>
                <w:szCs w:val="17"/>
              </w:rPr>
              <w:t xml:space="preserve">Humans evaluate AI-assisted summaries of AI outputs — scales oversight to long documents.</w:t>
            </w:r>
          </w:p>
        </w:tc>
        <w:tc>
          <w:tcPr>
            <w:tcW w:type="dxa" w:w="4680"/>
            <w:tcBorders>
              <w:top w:val="single" w:color="BBDDBB" w:sz="2"/>
              <w:left w:val="single" w:color="BBDDBB" w:sz="2"/>
              <w:bottom w:val="single" w:color="BBDDBB" w:sz="2"/>
              <w:right w:val="single" w:color="BBDDBB" w:sz="2"/>
            </w:tcBorders>
            <w:shd w:fill="F0FDF4" w:val="clear"/>
            <w:tcMar>
              <w:top w:type="dxa" w:w="50"/>
              <w:left w:type="dxa" w:w="120"/>
              <w:bottom w:type="dxa" w:w="50"/>
              <w:right w:type="dxa" w:w="130"/>
            </w:tcMar>
          </w:tcPr>
          <w:p>
            <w:pPr>
              <w:spacing w:before="20" w:after="20"/>
            </w:pPr>
            <w:r>
              <w:rPr>
                <w:rFonts w:ascii="Arial" w:cs="Arial" w:eastAsia="Arial" w:hAnsi="Arial"/>
                <w:b/>
                <w:bCs/>
                <w:color w:val="22C55E"/>
                <w:sz w:val="17"/>
                <w:szCs w:val="17"/>
              </w:rPr>
              <w:t xml:space="preserve">Iterated Amplification  </w:t>
            </w:r>
            <w:r>
              <w:rPr>
                <w:rFonts w:ascii="Arial" w:cs="Arial" w:eastAsia="Arial" w:hAnsi="Arial"/>
                <w:color w:val="4B5563"/>
                <w:sz w:val="17"/>
                <w:szCs w:val="17"/>
              </w:rPr>
              <w:t xml:space="preserve">Human + AI decomposition of complex tasks; gradually shifts work to AI with maintained oversight.</w:t>
            </w:r>
          </w:p>
          <w:p>
            <w:pPr>
              <w:spacing w:before="20" w:after="20"/>
            </w:pPr>
            <w:r>
              <w:rPr>
                <w:rFonts w:ascii="Arial" w:cs="Arial" w:eastAsia="Arial" w:hAnsi="Arial"/>
                <w:b/>
                <w:bCs/>
                <w:color w:val="22C55E"/>
                <w:sz w:val="17"/>
                <w:szCs w:val="17"/>
              </w:rPr>
              <w:t xml:space="preserve">Weak-to-Strong Generalisation  </w:t>
            </w:r>
            <w:r>
              <w:rPr>
                <w:rFonts w:ascii="Arial" w:cs="Arial" w:eastAsia="Arial" w:hAnsi="Arial"/>
                <w:color w:val="4B5563"/>
                <w:sz w:val="17"/>
                <w:szCs w:val="17"/>
              </w:rPr>
              <w:t xml:space="preserve">OpenAI research: strong model fine-tuned on weak supervisor labels still outperforms supervisor.</w:t>
            </w:r>
          </w:p>
          <w:p>
            <w:pPr>
              <w:spacing w:before="20" w:after="20"/>
            </w:pPr>
            <w:r>
              <w:rPr>
                <w:rFonts w:ascii="Arial" w:cs="Arial" w:eastAsia="Arial" w:hAnsi="Arial"/>
                <w:b/>
                <w:bCs/>
                <w:color w:val="22C55E"/>
                <w:sz w:val="17"/>
                <w:szCs w:val="17"/>
              </w:rPr>
              <w:t xml:space="preserve">Process Supervision  </w:t>
            </w:r>
            <w:r>
              <w:rPr>
                <w:rFonts w:ascii="Arial" w:cs="Arial" w:eastAsia="Arial" w:hAnsi="Arial"/>
                <w:color w:val="4B5563"/>
                <w:sz w:val="17"/>
                <w:szCs w:val="17"/>
              </w:rPr>
              <w:t xml:space="preserve">Label correctness of intermediate reasoning steps, not just final answer — improves math/code.</w:t>
            </w:r>
          </w:p>
          <w:p>
            <w:pPr>
              <w:spacing w:before="20" w:after="20"/>
            </w:pPr>
            <w:r>
              <w:rPr>
                <w:rFonts w:ascii="Arial" w:cs="Arial" w:eastAsia="Arial" w:hAnsi="Arial"/>
                <w:b/>
                <w:bCs/>
                <w:color w:val="22C55E"/>
                <w:sz w:val="17"/>
                <w:szCs w:val="17"/>
              </w:rPr>
              <w:t xml:space="preserve">Automated Red-Teaming  </w:t>
            </w:r>
            <w:r>
              <w:rPr>
                <w:rFonts w:ascii="Arial" w:cs="Arial" w:eastAsia="Arial" w:hAnsi="Arial"/>
                <w:color w:val="4B5563"/>
                <w:sz w:val="17"/>
                <w:szCs w:val="17"/>
              </w:rPr>
              <w:t xml:space="preserve">Use an attacker LLM to generate adversarial prompts; scale safety testing without human cost.</w:t>
            </w:r>
          </w:p>
        </w:tc>
      </w:tr>
    </w:tbl>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16"/>
              <w:bottom w:val="none" w:color="FFFFFF" w:sz="0"/>
              <w:right w:val="none" w:color="FFFFFF" w:sz="0"/>
            </w:tcBorders>
            <w:shd w:fill="132B13" w:val="clear"/>
            <w:tcMar>
              <w:top w:type="dxa" w:w="80"/>
              <w:left w:type="dxa" w:w="200"/>
              <w:bottom w:type="dxa" w:w="80"/>
              <w:right w:type="dxa" w:w="200"/>
            </w:tcMar>
          </w:tcPr>
          <w:p>
            <w:r>
              <w:rPr>
                <w:rFonts w:ascii="Arial" w:cs="Arial" w:eastAsia="Arial" w:hAnsi="Arial"/>
                <w:b/>
                <w:bCs/>
                <w:color w:val="86EFAC"/>
                <w:sz w:val="24"/>
                <w:szCs w:val="24"/>
              </w:rPr>
              <w:t xml:space="preserve">📊  Alignment Evaluation Benchmarks</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Benchmark</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What It Measures</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Notes</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MT-Bench</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Multi-turn instruction following quality (GPT-4 judge)</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80 questions across 8 categories; 1-10 score</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AlpacaEval 2</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Win rate vs GPT-4 Turbo (LLM judge)</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LC win rate corrects for length bias</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Arena-Hard</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Hard technical questions; GPT-4 Turbo judge</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Harder than MT-Bench; better discriminates top models</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LMSYS Chatbot Arena</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Human blind pairwise preference; ELO ranking</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Gold standard for user preference; slow to update</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TruthfulQA</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Tendency to hallucinate on misleading questions</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Tests honesty; adversarially designed prompts</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HarmBench</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Robustness to jailbreaks across attack categories</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510 behaviours; 18 attack methods; standardised</w:t>
            </w:r>
          </w:p>
        </w:tc>
      </w:tr>
    </w:tbl>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16"/>
              <w:bottom w:val="none" w:color="FFFFFF" w:sz="0"/>
              <w:right w:val="none" w:color="FFFFFF" w:sz="0"/>
            </w:tcBorders>
            <w:shd w:fill="132B13" w:val="clear"/>
            <w:tcMar>
              <w:top w:type="dxa" w:w="80"/>
              <w:left w:type="dxa" w:w="200"/>
              <w:bottom w:type="dxa" w:w="80"/>
              <w:right w:type="dxa" w:w="200"/>
            </w:tcMar>
          </w:tcPr>
          <w:p>
            <w:r>
              <w:rPr>
                <w:rFonts w:ascii="Arial" w:cs="Arial" w:eastAsia="Arial" w:hAnsi="Arial"/>
                <w:b/>
                <w:bCs/>
                <w:color w:val="86EFAC"/>
                <w:sz w:val="24"/>
                <w:szCs w:val="24"/>
              </w:rPr>
              <w:t xml:space="preserve">🛠️  Post-Training Stack &amp; Tools</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DBB" w:sz="2"/>
              <w:left w:val="single" w:color="BBDDBB" w:sz="2"/>
              <w:bottom w:val="single" w:color="BBDDBB" w:sz="2"/>
              <w:right w:val="single" w:color="BBDDBB" w:sz="2"/>
            </w:tcBorders>
            <w:shd w:fill="F0FDF4" w:val="clear"/>
            <w:tcMar>
              <w:top w:type="dxa" w:w="50"/>
              <w:left w:type="dxa" w:w="120"/>
              <w:bottom w:type="dxa" w:w="50"/>
              <w:right w:type="dxa" w:w="130"/>
            </w:tcMar>
          </w:tcPr>
          <w:p>
            <w:pPr>
              <w:spacing w:before="20" w:after="20"/>
            </w:pPr>
            <w:r>
              <w:rPr>
                <w:rFonts w:ascii="Arial" w:cs="Arial" w:eastAsia="Arial" w:hAnsi="Arial"/>
                <w:b/>
                <w:bCs/>
                <w:color w:val="22C55E"/>
                <w:sz w:val="17"/>
                <w:szCs w:val="17"/>
              </w:rPr>
              <w:t xml:space="preserve">TRL (HuggingFace)  </w:t>
            </w:r>
            <w:r>
              <w:rPr>
                <w:rFonts w:ascii="Arial" w:cs="Arial" w:eastAsia="Arial" w:hAnsi="Arial"/>
                <w:color w:val="4B5563"/>
                <w:sz w:val="17"/>
                <w:szCs w:val="17"/>
              </w:rPr>
              <w:t xml:space="preserve">PyTorch library for SFT, DPO, PPO, reward modelling — most widely used OSS RLHF toolkit.</w:t>
            </w:r>
          </w:p>
          <w:p>
            <w:pPr>
              <w:spacing w:before="20" w:after="20"/>
            </w:pPr>
            <w:r>
              <w:rPr>
                <w:rFonts w:ascii="Arial" w:cs="Arial" w:eastAsia="Arial" w:hAnsi="Arial"/>
                <w:b/>
                <w:bCs/>
                <w:color w:val="22C55E"/>
                <w:sz w:val="17"/>
                <w:szCs w:val="17"/>
              </w:rPr>
              <w:t xml:space="preserve">Axolotl  </w:t>
            </w:r>
            <w:r>
              <w:rPr>
                <w:rFonts w:ascii="Arial" w:cs="Arial" w:eastAsia="Arial" w:hAnsi="Arial"/>
                <w:color w:val="4B5563"/>
                <w:sz w:val="17"/>
                <w:szCs w:val="17"/>
              </w:rPr>
              <w:t xml:space="preserve">Config-driven fine-tuning; supports SFT + DPO; easy multi-GPU; great for practitioner use.</w:t>
            </w:r>
          </w:p>
          <w:p>
            <w:pPr>
              <w:spacing w:before="20" w:after="20"/>
            </w:pPr>
            <w:r>
              <w:rPr>
                <w:rFonts w:ascii="Arial" w:cs="Arial" w:eastAsia="Arial" w:hAnsi="Arial"/>
                <w:b/>
                <w:bCs/>
                <w:color w:val="22C55E"/>
                <w:sz w:val="17"/>
                <w:szCs w:val="17"/>
              </w:rPr>
              <w:t xml:space="preserve">OpenRLHF  </w:t>
            </w:r>
            <w:r>
              <w:rPr>
                <w:rFonts w:ascii="Arial" w:cs="Arial" w:eastAsia="Arial" w:hAnsi="Arial"/>
                <w:color w:val="4B5563"/>
                <w:sz w:val="17"/>
                <w:szCs w:val="17"/>
              </w:rPr>
              <w:t xml:space="preserve">Ray-based distributed RLHF at scale; supports PPO, DPO, GRPO; designed for 70B+ models.</w:t>
            </w:r>
          </w:p>
          <w:p>
            <w:pPr>
              <w:spacing w:before="20" w:after="20"/>
            </w:pPr>
            <w:r>
              <w:rPr>
                <w:rFonts w:ascii="Arial" w:cs="Arial" w:eastAsia="Arial" w:hAnsi="Arial"/>
                <w:b/>
                <w:bCs/>
                <w:color w:val="22C55E"/>
                <w:sz w:val="17"/>
                <w:szCs w:val="17"/>
              </w:rPr>
              <w:t xml:space="preserve">LLaMA-Factory  </w:t>
            </w:r>
            <w:r>
              <w:rPr>
                <w:rFonts w:ascii="Arial" w:cs="Arial" w:eastAsia="Arial" w:hAnsi="Arial"/>
                <w:color w:val="4B5563"/>
                <w:sz w:val="17"/>
                <w:szCs w:val="17"/>
              </w:rPr>
              <w:t xml:space="preserve">Web UI + CLI for SFT/DPO/RM training; broad model and dataset support.</w:t>
            </w:r>
          </w:p>
        </w:tc>
        <w:tc>
          <w:tcPr>
            <w:tcW w:type="dxa" w:w="4680"/>
            <w:tcBorders>
              <w:top w:val="single" w:color="BBDDBB" w:sz="2"/>
              <w:left w:val="single" w:color="BBDDBB" w:sz="2"/>
              <w:bottom w:val="single" w:color="BBDDBB" w:sz="2"/>
              <w:right w:val="single" w:color="BBDDBB" w:sz="2"/>
            </w:tcBorders>
            <w:shd w:fill="F0FDF4" w:val="clear"/>
            <w:tcMar>
              <w:top w:type="dxa" w:w="50"/>
              <w:left w:type="dxa" w:w="120"/>
              <w:bottom w:type="dxa" w:w="50"/>
              <w:right w:type="dxa" w:w="130"/>
            </w:tcMar>
          </w:tcPr>
          <w:p>
            <w:pPr>
              <w:spacing w:before="20" w:after="20"/>
            </w:pPr>
            <w:r>
              <w:rPr>
                <w:rFonts w:ascii="Arial" w:cs="Arial" w:eastAsia="Arial" w:hAnsi="Arial"/>
                <w:b/>
                <w:bCs/>
                <w:color w:val="22C55E"/>
                <w:sz w:val="17"/>
                <w:szCs w:val="17"/>
              </w:rPr>
              <w:t xml:space="preserve">Reward-Bench  </w:t>
            </w:r>
            <w:r>
              <w:rPr>
                <w:rFonts w:ascii="Arial" w:cs="Arial" w:eastAsia="Arial" w:hAnsi="Arial"/>
                <w:color w:val="4B5563"/>
                <w:sz w:val="17"/>
                <w:szCs w:val="17"/>
              </w:rPr>
              <w:t xml:space="preserve">OSS benchmark for evaluating reward model quality across chat/safety/reasoning.</w:t>
            </w:r>
          </w:p>
          <w:p>
            <w:pPr>
              <w:spacing w:before="20" w:after="20"/>
            </w:pPr>
            <w:r>
              <w:rPr>
                <w:rFonts w:ascii="Arial" w:cs="Arial" w:eastAsia="Arial" w:hAnsi="Arial"/>
                <w:b/>
                <w:bCs/>
                <w:color w:val="22C55E"/>
                <w:sz w:val="17"/>
                <w:szCs w:val="17"/>
              </w:rPr>
              <w:t xml:space="preserve">VLLM + SGLang  </w:t>
            </w:r>
            <w:r>
              <w:rPr>
                <w:rFonts w:ascii="Arial" w:cs="Arial" w:eastAsia="Arial" w:hAnsi="Arial"/>
                <w:color w:val="4B5563"/>
                <w:sz w:val="17"/>
                <w:szCs w:val="17"/>
              </w:rPr>
              <w:t xml:space="preserve">High-throughput inference for online PPO rollout generation during training.</w:t>
            </w:r>
          </w:p>
          <w:p>
            <w:pPr>
              <w:spacing w:before="20" w:after="20"/>
            </w:pPr>
            <w:r>
              <w:rPr>
                <w:rFonts w:ascii="Arial" w:cs="Arial" w:eastAsia="Arial" w:hAnsi="Arial"/>
                <w:b/>
                <w:bCs/>
                <w:color w:val="22C55E"/>
                <w:sz w:val="17"/>
                <w:szCs w:val="17"/>
              </w:rPr>
              <w:t xml:space="preserve">WandB / Comet  </w:t>
            </w:r>
            <w:r>
              <w:rPr>
                <w:rFonts w:ascii="Arial" w:cs="Arial" w:eastAsia="Arial" w:hAnsi="Arial"/>
                <w:color w:val="4B5563"/>
                <w:sz w:val="17"/>
                <w:szCs w:val="17"/>
              </w:rPr>
              <w:t xml:space="preserve">Track reward curves, KL divergence, win rates, and response quality during training.</w:t>
            </w:r>
          </w:p>
          <w:p>
            <w:pPr>
              <w:spacing w:before="20" w:after="20"/>
            </w:pPr>
            <w:r>
              <w:rPr>
                <w:rFonts w:ascii="Arial" w:cs="Arial" w:eastAsia="Arial" w:hAnsi="Arial"/>
                <w:b/>
                <w:bCs/>
                <w:color w:val="22C55E"/>
                <w:sz w:val="17"/>
                <w:szCs w:val="17"/>
              </w:rPr>
              <w:t xml:space="preserve">Distilabel  </w:t>
            </w:r>
            <w:r>
              <w:rPr>
                <w:rFonts w:ascii="Arial" w:cs="Arial" w:eastAsia="Arial" w:hAnsi="Arial"/>
                <w:color w:val="4B5563"/>
                <w:sz w:val="17"/>
                <w:szCs w:val="17"/>
              </w:rPr>
              <w:t xml:space="preserve">Synthetic preference data generation using LLM judges; scale labelling cheaply.</w:t>
            </w:r>
          </w:p>
        </w:tc>
      </w:tr>
    </w:tbl>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16"/>
              <w:bottom w:val="none" w:color="FFFFFF" w:sz="0"/>
              <w:right w:val="none" w:color="FFFFFF" w:sz="0"/>
            </w:tcBorders>
            <w:shd w:fill="132B13" w:val="clear"/>
            <w:tcMar>
              <w:top w:type="dxa" w:w="80"/>
              <w:left w:type="dxa" w:w="200"/>
              <w:bottom w:type="dxa" w:w="80"/>
              <w:right w:type="dxa" w:w="200"/>
            </w:tcMar>
          </w:tcPr>
          <w:p>
            <w:r>
              <w:rPr>
                <w:rFonts w:ascii="Arial" w:cs="Arial" w:eastAsia="Arial" w:hAnsi="Arial"/>
                <w:b/>
                <w:bCs/>
                <w:color w:val="86EFAC"/>
                <w:sz w:val="24"/>
                <w:szCs w:val="24"/>
              </w:rPr>
              <w:t xml:space="preserve">⚠️  Failure Modes &amp; Open Problems</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Failure Mode</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Description</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Mitigation</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Reward Hacking</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Policy exploits RM gaps; verbosity, sycophancy, formatting gaming</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KL penalty, RM ensembling, diverse eval</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Sycophancy</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Model agrees with user regardless of truth; preference data biases</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Adversarial prompts in training; honesty rubrics</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Over-Refusal</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Model refuses benign requests due to overcautious safety training</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Calibrated safety data; balanced red-teaming</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Distribution Shift</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Preference data biased to labeller demographics and preferences</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Diverse annotator pools; persona-varied data</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Value Underspecification</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Principles too vague; model misinterprets edge cases</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Detailed constitutional principles; case studies</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Specification Gaming</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Model satisfies letter not spirit of reward signal</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Process reward models; diverse reward signals</w:t>
            </w:r>
          </w:p>
        </w:tc>
      </w:tr>
    </w:tbl>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16"/>
              <w:bottom w:val="none" w:color="FFFFFF" w:sz="0"/>
              <w:right w:val="none" w:color="FFFFFF" w:sz="0"/>
            </w:tcBorders>
            <w:shd w:fill="132B13" w:val="clear"/>
            <w:tcMar>
              <w:top w:type="dxa" w:w="80"/>
              <w:left w:type="dxa" w:w="200"/>
              <w:bottom w:type="dxa" w:w="80"/>
              <w:right w:type="dxa" w:w="200"/>
            </w:tcMar>
          </w:tcPr>
          <w:p>
            <w:r>
              <w:rPr>
                <w:rFonts w:ascii="Arial" w:cs="Arial" w:eastAsia="Arial" w:hAnsi="Arial"/>
                <w:b/>
                <w:bCs/>
                <w:color w:val="86EFAC"/>
                <w:sz w:val="24"/>
                <w:szCs w:val="24"/>
              </w:rPr>
              <w:t xml:space="preserve">🗺️  Learning Roadmap</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Stage</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Topic</w:t>
            </w:r>
          </w:p>
        </w:tc>
        <w:tc>
          <w:tcPr>
            <w:tcW w:type="dxa" w:w="3120"/>
            <w:tcBorders>
              <w:top w:val="single" w:color="1A4A1A" w:sz="2"/>
              <w:left w:val="single" w:color="1A4A1A" w:sz="2"/>
              <w:bottom w:val="single" w:color="1A4A1A" w:sz="2"/>
              <w:right w:val="single" w:color="1A4A1A" w:sz="2"/>
            </w:tcBorders>
            <w:shd w:fill="132B13" w:val="clear"/>
            <w:tcMar>
              <w:top w:type="dxa" w:w="50"/>
              <w:left w:type="dxa" w:w="100"/>
              <w:bottom w:type="dxa" w:w="50"/>
              <w:right w:type="dxa" w:w="110"/>
            </w:tcMar>
          </w:tcPr>
          <w:p>
            <w:r>
              <w:rPr>
                <w:rFonts w:ascii="Arial" w:cs="Arial" w:eastAsia="Arial" w:hAnsi="Arial"/>
                <w:b/>
                <w:bCs/>
                <w:color w:val="86EFAC"/>
                <w:sz w:val="17"/>
                <w:szCs w:val="17"/>
              </w:rPr>
              <w:t xml:space="preserve">Resources</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1</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RL fundamentals: MDPs, policy gradient, PPO</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Sutton &amp; Barto (free), Spinning Up (OpenAI)</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2</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RLHF original paper</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Christiano et al. 2017; InstructGPT (Ouyang et al. 2022)</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3</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DPO &amp; alternatives</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DPO paper (Rafailov 2023), KTO, IPO, GRPO papers</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4</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Constitutional AI &amp; RLAIF</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Anthropic CAI paper, RLAIF (Lee et al. 2023)</w:t>
            </w:r>
          </w:p>
        </w:tc>
      </w:tr>
      <w:tr>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5</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Hands-on fine-tuning</w:t>
            </w:r>
          </w:p>
        </w:tc>
        <w:tc>
          <w:tcPr>
            <w:tcW w:type="dxa" w:w="3120"/>
            <w:tcBorders>
              <w:top w:val="single" w:color="BBDDBB" w:sz="2"/>
              <w:left w:val="single" w:color="BBDDBB" w:sz="2"/>
              <w:bottom w:val="single" w:color="BBDDBB" w:sz="2"/>
              <w:right w:val="single" w:color="BBDDBB" w:sz="2"/>
            </w:tcBorders>
            <w:shd w:fill="FFFFFF" w:val="clear"/>
            <w:tcMar>
              <w:top w:type="dxa" w:w="40"/>
              <w:left w:type="dxa" w:w="100"/>
              <w:bottom w:type="dxa" w:w="40"/>
              <w:right w:type="dxa" w:w="110"/>
            </w:tcMar>
          </w:tcPr>
          <w:p>
            <w:r>
              <w:rPr>
                <w:rFonts w:ascii="Arial" w:cs="Arial" w:eastAsia="Arial" w:hAnsi="Arial"/>
                <w:color w:val="0F1F0F"/>
                <w:sz w:val="17"/>
                <w:szCs w:val="17"/>
              </w:rPr>
              <w:t xml:space="preserve">HuggingFace TRL docs, Axolotl, LLaMA-Factory tutorials</w:t>
            </w:r>
          </w:p>
        </w:tc>
      </w:tr>
      <w:tr>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6</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Scalable oversight</w:t>
            </w:r>
          </w:p>
        </w:tc>
        <w:tc>
          <w:tcPr>
            <w:tcW w:type="dxa" w:w="3120"/>
            <w:tcBorders>
              <w:top w:val="single" w:color="BBDDBB" w:sz="2"/>
              <w:left w:val="single" w:color="BBDDBB" w:sz="2"/>
              <w:bottom w:val="single" w:color="BBDDBB" w:sz="2"/>
              <w:right w:val="single" w:color="BBDDBB" w:sz="2"/>
            </w:tcBorders>
            <w:shd w:fill="F0FDF4" w:val="clear"/>
            <w:tcMar>
              <w:top w:type="dxa" w:w="40"/>
              <w:left w:type="dxa" w:w="100"/>
              <w:bottom w:type="dxa" w:w="40"/>
              <w:right w:type="dxa" w:w="110"/>
            </w:tcMar>
          </w:tcPr>
          <w:p>
            <w:r>
              <w:rPr>
                <w:rFonts w:ascii="Arial" w:cs="Arial" w:eastAsia="Arial" w:hAnsi="Arial"/>
                <w:color w:val="0F1F0F"/>
                <w:sz w:val="17"/>
                <w:szCs w:val="17"/>
              </w:rPr>
              <w:t xml:space="preserve">ARC Evals, Anthropic interpretability, weak-to-strong paper</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2C55E" w:sz="20"/>
              <w:bottom w:val="none" w:color="FFFFFF" w:sz="0"/>
              <w:right w:val="none" w:color="FFFFFF" w:sz="0"/>
            </w:tcBorders>
            <w:shd w:fill="F0FDF4" w:val="clear"/>
            <w:tcMar>
              <w:top w:type="dxa" w:w="80"/>
              <w:left w:type="dxa" w:w="220"/>
              <w:bottom w:type="dxa" w:w="80"/>
              <w:right w:type="dxa" w:w="220"/>
            </w:tcMar>
          </w:tcPr>
          <w:p>
            <w:r>
              <w:rPr>
                <w:rFonts w:ascii="Arial" w:cs="Arial" w:eastAsia="Arial" w:hAnsi="Arial"/>
                <w:i/>
                <w:iCs/>
                <w:color w:val="4B5563"/>
                <w:sz w:val="18"/>
                <w:szCs w:val="18"/>
              </w:rPr>
              <w:t xml:space="preserve">🚀 Key Takeaway: RLHF and its successors are what transform raw model capability into safe, helpful, and honest AI. DPO has simplified the pipeline dramatically, but the field is moving fast — GRPO, process reward models, and scalable oversight are redefining what alignment means for frontier models. Understanding these techniques is essential for anyone building or evaluating production AI systems.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C55E" w:sz="6" w:space="1"/>
              <w:left w:val="none" w:color="FFFFFF" w:sz="0"/>
              <w:bottom w:val="none" w:color="FFFFFF" w:sz="0"/>
              <w:right w:val="none" w:color="FFFFFF" w:sz="0"/>
            </w:tcBorders>
            <w:shd w:fill="F0FDF4" w:val="clear"/>
            <w:tcMar>
              <w:top w:type="dxa" w:w="70"/>
              <w:left w:type="dxa" w:w="200"/>
              <w:bottom w:type="dxa" w:w="70"/>
              <w:right w:type="dxa" w:w="200"/>
            </w:tcMar>
          </w:tcPr>
          <w:p>
            <w:pPr>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iatlgbrwg6wmuxcuqshu4">
              <w:r>
                <w:rPr>
                  <w:rStyle w:val="Hyperlink"/>
                  <w:rFonts w:ascii="Arial" w:cs="Arial" w:eastAsia="Arial" w:hAnsi="Arial"/>
                  <w:b/>
                  <w:bCs/>
                  <w:sz w:val="15"/>
                  <w:szCs w:val="15"/>
                </w:rPr>
                <w:t xml:space="preserve">https://accredian.com</w:t>
              </w:r>
            </w:hyperlink>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jsz3ef4knew1kv3s5pra" Type="http://schemas.openxmlformats.org/officeDocument/2006/relationships/hyperlink" Target="https://accredian.com" TargetMode="External"/><Relationship Id="rIdiatlgbrwg6wmuxcuqshu4" Type="http://schemas.openxmlformats.org/officeDocument/2006/relationships/hyperlink" Target="https://accredian.com"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2026-03-29T05:49:56.905Z</dcterms:created>
  <dcterms:modified xsi:type="dcterms:W3CDTF">2026-03-29T05:49:56.906Z</dcterms:modified>
</cp:coreProperties>
</file>

<file path=docProps/custom.xml><?xml version="1.0" encoding="utf-8"?>
<Properties xmlns="http://schemas.openxmlformats.org/officeDocument/2006/custom-properties" xmlns:vt="http://schemas.openxmlformats.org/officeDocument/2006/docPropsVTypes"/>
</file>