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64748b"/>
          <w:sz w:val="17"/>
          <w:szCs w:val="17"/>
          <w:rtl w:val="0"/>
        </w:rPr>
        <w:t xml:space="preserve">AI INFRASTRUCTURE ROADMAP · ENTERPRISE STRATEGY</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0f2040"/>
          <w:sz w:val="52"/>
          <w:szCs w:val="52"/>
          <w:rtl w:val="0"/>
        </w:rPr>
        <w:t xml:space="preserve">Establishing the</w:t>
      </w:r>
      <w:r w:rsidDel="00000000" w:rsidR="00000000" w:rsidRPr="00000000">
        <w:rPr>
          <w:rtl w:val="0"/>
        </w:rPr>
      </w:r>
    </w:p>
    <w:p w:rsidR="00000000" w:rsidDel="00000000" w:rsidP="00000000" w:rsidRDefault="00000000" w:rsidRPr="00000000" w14:paraId="00000004">
      <w:pPr>
        <w:spacing w:after="180" w:lineRule="auto"/>
        <w:rPr/>
      </w:pPr>
      <w:r w:rsidDel="00000000" w:rsidR="00000000" w:rsidRPr="00000000">
        <w:rPr>
          <w:b w:val="1"/>
          <w:bCs w:val="1"/>
          <w:color w:val="0a6e7a"/>
          <w:sz w:val="52"/>
          <w:szCs w:val="52"/>
          <w:rtl w:val="0"/>
        </w:rPr>
        <w:t xml:space="preserve">“AI Gateway”</w:t>
      </w:r>
      <w:r w:rsidDel="00000000" w:rsidR="00000000" w:rsidRPr="00000000">
        <w:rPr>
          <w:rtl w:val="0"/>
        </w:rPr>
      </w:r>
    </w:p>
    <w:p w:rsidR="00000000" w:rsidDel="00000000" w:rsidP="00000000" w:rsidRDefault="00000000" w:rsidRPr="00000000" w14:paraId="00000005">
      <w:pPr>
        <w:spacing w:after="600" w:lineRule="auto"/>
        <w:rPr/>
      </w:pPr>
      <w:r w:rsidDel="00000000" w:rsidR="00000000" w:rsidRPr="00000000">
        <w:rPr>
          <w:i w:val="1"/>
          <w:iCs w:val="1"/>
          <w:color w:val="64748b"/>
          <w:sz w:val="28"/>
          <w:szCs w:val="28"/>
          <w:rtl w:val="0"/>
        </w:rPr>
        <w:t xml:space="preserve">Security &amp; Cost Control for Enterprise AI</w:t>
      </w:r>
      <w:r w:rsidDel="00000000" w:rsidR="00000000" w:rsidRPr="00000000">
        <w:rPr>
          <w:rtl w:val="0"/>
        </w:rPr>
      </w:r>
    </w:p>
    <w:p w:rsidR="00000000" w:rsidDel="00000000" w:rsidP="00000000" w:rsidRDefault="00000000" w:rsidRPr="00000000" w14:paraId="00000006">
      <w:pPr>
        <w:pBdr>
          <w:bottom w:color="d1dbe8" w:space="1" w:sz="6" w:val="single"/>
        </w:pBdr>
        <w:spacing w:after="60" w:before="60" w:lineRule="auto"/>
        <w:rPr/>
      </w:pP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b w:val="1"/>
          <w:bCs w:val="1"/>
          <w:color w:val="0f2040"/>
          <w:sz w:val="17"/>
          <w:szCs w:val="17"/>
          <w:rtl w:val="0"/>
        </w:rPr>
        <w:t xml:space="preserve">ABOUT THIS ROADMAP</w:t>
      </w:r>
      <w:r w:rsidDel="00000000" w:rsidR="00000000" w:rsidRPr="00000000">
        <w:rPr>
          <w:rtl w:val="0"/>
        </w:rPr>
      </w:r>
    </w:p>
    <w:p w:rsidR="00000000" w:rsidDel="00000000" w:rsidP="00000000" w:rsidRDefault="00000000" w:rsidRPr="00000000" w14:paraId="00000009">
      <w:pPr>
        <w:spacing w:after="120" w:line="300" w:lineRule="auto"/>
        <w:rPr/>
      </w:pPr>
      <w:r w:rsidDel="00000000" w:rsidR="00000000" w:rsidRPr="00000000">
        <w:rPr>
          <w:sz w:val="21"/>
          <w:szCs w:val="21"/>
          <w:rtl w:val="0"/>
        </w:rPr>
        <w:t xml:space="preserve">As AI systems proliferate across the enterprise, the absence of a unified control plane is no longer a governance gap — it is a material risk. This roadmap provides a structured framework for establishing an AI Gateway: a centralised security, policy, and cost control layer that sits between every AI model and every user or application in your organisation.</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sz w:val="21"/>
          <w:szCs w:val="21"/>
          <w:rtl w:val="0"/>
        </w:rPr>
        <w:t xml:space="preserve">Structured across four phases spanning twelve weeks, this document defines the architecture decisions, governance structures, security controls, and financial disciplines required to deploy AI at scale without accumulating technical debt, compliance exposure, or runaway cost.</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color w:val="0f2040"/>
          <w:sz w:val="17"/>
          <w:szCs w:val="17"/>
          <w:rtl w:val="0"/>
        </w:rPr>
        <w:t xml:space="preserve">WHAT’S INSIDE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1"/>
          <w:bCs w:val="1"/>
          <w:color w:val="0a6e7a"/>
          <w:sz w:val="19"/>
          <w:szCs w:val="19"/>
          <w:rtl w:val="0"/>
        </w:rPr>
        <w:t xml:space="preserve">01 —  </w:t>
      </w:r>
      <w:r w:rsidDel="00000000" w:rsidR="00000000" w:rsidRPr="00000000">
        <w:rPr>
          <w:sz w:val="19"/>
          <w:szCs w:val="19"/>
          <w:rtl w:val="0"/>
        </w:rPr>
        <w:t xml:space="preserve">The Case for an AI Gateway — Why a Control Plane Is Non-Negotiable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color w:val="0a6e7a"/>
          <w:sz w:val="19"/>
          <w:szCs w:val="19"/>
          <w:rtl w:val="0"/>
        </w:rPr>
        <w:t xml:space="preserve">02 —  </w:t>
      </w:r>
      <w:r w:rsidDel="00000000" w:rsidR="00000000" w:rsidRPr="00000000">
        <w:rPr>
          <w:sz w:val="19"/>
          <w:szCs w:val="19"/>
          <w:rtl w:val="0"/>
        </w:rPr>
        <w:t xml:space="preserve">Core Architecture of the AI Gateway</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b w:val="1"/>
          <w:bCs w:val="1"/>
          <w:color w:val="0a6e7a"/>
          <w:sz w:val="19"/>
          <w:szCs w:val="19"/>
          <w:rtl w:val="0"/>
        </w:rPr>
        <w:t xml:space="preserve">03 —  </w:t>
      </w:r>
      <w:r w:rsidDel="00000000" w:rsidR="00000000" w:rsidRPr="00000000">
        <w:rPr>
          <w:sz w:val="19"/>
          <w:szCs w:val="19"/>
          <w:rtl w:val="0"/>
        </w:rPr>
        <w:t xml:space="preserve">Security Framework: Authentication, Authorisation &amp; Audit</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b w:val="1"/>
          <w:bCs w:val="1"/>
          <w:color w:val="0a6e7a"/>
          <w:sz w:val="19"/>
          <w:szCs w:val="19"/>
          <w:rtl w:val="0"/>
        </w:rPr>
        <w:t xml:space="preserve">04 —  </w:t>
      </w:r>
      <w:r w:rsidDel="00000000" w:rsidR="00000000" w:rsidRPr="00000000">
        <w:rPr>
          <w:sz w:val="19"/>
          <w:szCs w:val="19"/>
          <w:rtl w:val="0"/>
        </w:rPr>
        <w:t xml:space="preserve">Cost Control &amp; Financial Governance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b w:val="1"/>
          <w:bCs w:val="1"/>
          <w:color w:val="0a6e7a"/>
          <w:sz w:val="19"/>
          <w:szCs w:val="19"/>
          <w:rtl w:val="0"/>
        </w:rPr>
        <w:t xml:space="preserve">05 —  </w:t>
      </w:r>
      <w:r w:rsidDel="00000000" w:rsidR="00000000" w:rsidRPr="00000000">
        <w:rPr>
          <w:sz w:val="19"/>
          <w:szCs w:val="19"/>
          <w:rtl w:val="0"/>
        </w:rPr>
        <w:t xml:space="preserve">Implementation Roadmap: Four Phases, Twelve Weeks</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1"/>
          <w:bCs w:val="1"/>
          <w:color w:val="0a6e7a"/>
          <w:sz w:val="19"/>
          <w:szCs w:val="19"/>
          <w:rtl w:val="0"/>
        </w:rPr>
        <w:t xml:space="preserve">06 —  </w:t>
      </w:r>
      <w:r w:rsidDel="00000000" w:rsidR="00000000" w:rsidRPr="00000000">
        <w:rPr>
          <w:sz w:val="19"/>
          <w:szCs w:val="19"/>
          <w:rtl w:val="0"/>
        </w:rPr>
        <w:t xml:space="preserve">Governance Model &amp; Accountability Structure</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1"/>
          <w:bCs w:val="1"/>
          <w:color w:val="0a6e7a"/>
          <w:sz w:val="19"/>
          <w:szCs w:val="19"/>
          <w:rtl w:val="0"/>
        </w:rPr>
        <w:t xml:space="preserve">07 —  </w:t>
      </w:r>
      <w:r w:rsidDel="00000000" w:rsidR="00000000" w:rsidRPr="00000000">
        <w:rPr>
          <w:sz w:val="19"/>
          <w:szCs w:val="19"/>
          <w:rtl w:val="0"/>
        </w:rPr>
        <w:t xml:space="preserve">Measuring Success: Metrics &amp; KPIs</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b w:val="1"/>
          <w:bCs w:val="1"/>
          <w:color w:val="0a6e7a"/>
          <w:sz w:val="19"/>
          <w:szCs w:val="19"/>
          <w:rtl w:val="0"/>
        </w:rPr>
        <w:t xml:space="preserve">08 —  </w:t>
      </w:r>
      <w:r w:rsidDel="00000000" w:rsidR="00000000" w:rsidRPr="00000000">
        <w:rPr>
          <w:sz w:val="19"/>
          <w:szCs w:val="19"/>
          <w:rtl w:val="0"/>
        </w:rPr>
        <w:t xml:space="preserve">Common Failure Modes &amp; How to Avoid Them</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b w:val="1"/>
          <w:bCs w:val="1"/>
          <w:color w:val="0a6e7a"/>
          <w:sz w:val="19"/>
          <w:szCs w:val="19"/>
          <w:rtl w:val="0"/>
        </w:rPr>
        <w:t xml:space="preserve">09 —  </w:t>
      </w:r>
      <w:r w:rsidDel="00000000" w:rsidR="00000000" w:rsidRPr="00000000">
        <w:rPr>
          <w:sz w:val="19"/>
          <w:szCs w:val="19"/>
          <w:rtl w:val="0"/>
        </w:rPr>
        <w:t xml:space="preserve">Decision Checklist &amp; Readiness Assessment</w:t>
      </w:r>
      <w:r w:rsidDel="00000000" w:rsidR="00000000" w:rsidRPr="00000000">
        <w:rPr>
          <w:rtl w:val="0"/>
        </w:rPr>
      </w:r>
    </w:p>
    <w:p w:rsidR="00000000" w:rsidDel="00000000" w:rsidP="00000000" w:rsidRDefault="00000000" w:rsidRPr="00000000" w14:paraId="00000016">
      <w:pPr>
        <w:spacing w:after="300" w:lineRule="auto"/>
        <w:rPr/>
      </w:pP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7">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18">
      <w:pPr>
        <w:pageBreakBefore w:val="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01 — The Case for an AI Gateway</w:t>
      </w:r>
    </w:p>
    <w:p w:rsidR="00000000" w:rsidDel="00000000" w:rsidP="00000000" w:rsidRDefault="00000000" w:rsidRPr="00000000" w14:paraId="0000001A">
      <w:pPr>
        <w:pBdr>
          <w:bottom w:color="b03a2e" w:space="1" w:sz="6" w:val="single"/>
        </w:pBdr>
        <w:spacing w:after="60" w:before="60" w:lineRule="auto"/>
        <w:rPr/>
      </w:pP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sz w:val="21"/>
          <w:szCs w:val="21"/>
          <w:rtl w:val="0"/>
        </w:rPr>
        <w:t xml:space="preserve">The average enterprise now integrates seven or more distinct AI models across its technology stack. Each model has its own authentication mechanism, cost structure, rate limit, output format, and risk profile. In the absence of a unified control layer, organisations are effectively running seven separate AI deployments — each with its own security posture, its own budget, and its own blind spot.</w:t>
      </w:r>
      <w:r w:rsidDel="00000000" w:rsidR="00000000" w:rsidRPr="00000000">
        <w:rPr>
          <w:rtl w:val="0"/>
        </w:rPr>
      </w:r>
    </w:p>
    <w:p w:rsidR="00000000" w:rsidDel="00000000" w:rsidP="00000000" w:rsidRDefault="00000000" w:rsidRPr="00000000" w14:paraId="0000001D">
      <w:pPr>
        <w:spacing w:after="120" w:line="300" w:lineRule="auto"/>
        <w:rPr/>
      </w:pPr>
      <w:r w:rsidDel="00000000" w:rsidR="00000000" w:rsidRPr="00000000">
        <w:rPr>
          <w:sz w:val="21"/>
          <w:szCs w:val="21"/>
          <w:rtl w:val="0"/>
        </w:rPr>
        <w:t xml:space="preserve">An AI Gateway resolves this by acting as the single point of entry, enforcement, and observability for all AI traffic within the organisation. Every request to every model passes through it. Every response from every model passes through it. Nothing enters or leaves without passing the gateway’s security, policy, and cost controls.</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Why Point-to-Point AI Integrations Fail at Scale</w:t>
      </w:r>
    </w:p>
    <w:p w:rsidR="00000000" w:rsidDel="00000000" w:rsidP="00000000" w:rsidRDefault="00000000" w:rsidRPr="00000000" w14:paraId="00000020">
      <w:pPr>
        <w:spacing w:after="120" w:line="300" w:lineRule="auto"/>
        <w:rPr/>
      </w:pPr>
      <w:r w:rsidDel="00000000" w:rsidR="00000000" w:rsidRPr="00000000">
        <w:rPr>
          <w:sz w:val="21"/>
          <w:szCs w:val="21"/>
          <w:rtl w:val="0"/>
        </w:rPr>
        <w:t xml:space="preserve">Direct integrations between applications and AI providers create an architecture that is impossible to govern at scale. When engineering team A integrates directly with GPT-4o and engineering team B integrates directly with Claude, and team C uses a custom model, the result is:</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unified audit trail — individual teams maintain their own logs in inconsistent formats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cost visibility — AI spend is fragmented across dozens of cost centres with no aggregated view</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policy enforcement — data classification, PII handling, and output filtering vary by team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vendor portability — tight coupling to individual providers creates switching costs that compound over time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rate limit management — each team manages its own throttling, leading to redundant retries and cost spikes</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60.0" w:type="dxa"/>
              <w:left w:w="60.0" w:type="dxa"/>
              <w:bottom w:w="60.0" w:type="dxa"/>
              <w:right w:w="60.0" w:type="dxa"/>
            </w:tcMar>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20.0" w:type="dxa"/>
              <w:left w:w="180.0" w:type="dxa"/>
              <w:bottom w:w="120.0" w:type="dxa"/>
              <w:right w:w="180.0" w:type="dxa"/>
            </w:tcMar>
          </w:tcPr>
          <w:p w:rsidR="00000000" w:rsidDel="00000000" w:rsidP="00000000" w:rsidRDefault="00000000" w:rsidRPr="00000000" w14:paraId="00000029">
            <w:pPr>
              <w:spacing w:after="50" w:lineRule="auto"/>
              <w:rPr/>
            </w:pPr>
            <w:r w:rsidDel="00000000" w:rsidR="00000000" w:rsidRPr="00000000">
              <w:rPr>
                <w:b w:val="1"/>
                <w:bCs w:val="1"/>
                <w:color w:val="b03a2e"/>
                <w:sz w:val="20"/>
                <w:szCs w:val="20"/>
                <w:rtl w:val="0"/>
              </w:rPr>
              <w:t xml:space="preserve">The Governance Imperative</w:t>
            </w:r>
            <w:r w:rsidDel="00000000" w:rsidR="00000000" w:rsidRPr="00000000">
              <w:rPr>
                <w:rtl w:val="0"/>
              </w:rPr>
            </w:r>
          </w:p>
          <w:p w:rsidR="00000000" w:rsidDel="00000000" w:rsidP="00000000" w:rsidRDefault="00000000" w:rsidRPr="00000000" w14:paraId="0000002A">
            <w:pPr>
              <w:rPr/>
            </w:pPr>
            <w:r w:rsidDel="00000000" w:rsidR="00000000" w:rsidRPr="00000000">
              <w:rPr>
                <w:sz w:val="20"/>
                <w:szCs w:val="20"/>
                <w:rtl w:val="0"/>
              </w:rPr>
              <w:t xml:space="preserve">A single AI integration without a gateway is a prototype. Seven AI integrations without a gateway is a liability. The AI Gateway is not an optional architectural refinement — it is the precondition for responsible AI deployment at enterprise scale.</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What the AI Gateway Is Not</w:t>
      </w:r>
    </w:p>
    <w:p w:rsidR="00000000" w:rsidDel="00000000" w:rsidP="00000000" w:rsidRDefault="00000000" w:rsidRPr="00000000" w14:paraId="0000002D">
      <w:pPr>
        <w:spacing w:after="120" w:line="300" w:lineRule="auto"/>
        <w:rPr/>
      </w:pPr>
      <w:r w:rsidDel="00000000" w:rsidR="00000000" w:rsidRPr="00000000">
        <w:rPr>
          <w:sz w:val="21"/>
          <w:szCs w:val="21"/>
          <w:rtl w:val="0"/>
        </w:rPr>
        <w:t xml:space="preserve">Clarity about scope prevents scope creep and ensures the Gateway remains a security and cost control layer rather than an attempt to centralise all AI decision-making.</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It is not a model training or fine-tuning platform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It is not a prompt management or experimentation tool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It is not a replacement for individual team-level AI tooling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It is not a content moderation layer for end-user facing applications (though it can surface signals for those systems)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0"/>
          <w:szCs w:val="20"/>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Gateway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Outside Gateway Scope</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sz w:val="19"/>
                <w:szCs w:val="19"/>
                <w:rtl w:val="0"/>
              </w:rPr>
              <w:t xml:space="preserve">Authentication &amp; authorisation for all model access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sz w:val="19"/>
                <w:szCs w:val="19"/>
                <w:rtl w:val="0"/>
              </w:rPr>
              <w:t xml:space="preserve">Model selection and A/B testing strategy</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sz w:val="19"/>
                <w:szCs w:val="19"/>
                <w:rtl w:val="0"/>
              </w:rPr>
              <w:t xml:space="preserve">Unified cost tracking and budget enforcement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sz w:val="19"/>
                <w:szCs w:val="19"/>
                <w:rtl w:val="0"/>
              </w:rPr>
              <w:t xml:space="preserve">Prompt engineering and template management</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sz w:val="19"/>
                <w:szCs w:val="19"/>
                <w:rtl w:val="0"/>
              </w:rPr>
              <w:t xml:space="preserve">Request/response audit logging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sz w:val="19"/>
                <w:szCs w:val="19"/>
                <w:rtl w:val="0"/>
              </w:rPr>
              <w:t xml:space="preserve">End-user experience design</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sz w:val="19"/>
                <w:szCs w:val="19"/>
                <w:rtl w:val="0"/>
              </w:rPr>
              <w:t xml:space="preserve">PII detection and data classification</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sz w:val="19"/>
                <w:szCs w:val="19"/>
                <w:rtl w:val="0"/>
              </w:rPr>
              <w:t xml:space="preserve">Business logic and workflow orchestration</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sz w:val="19"/>
                <w:szCs w:val="19"/>
                <w:rtl w:val="0"/>
              </w:rPr>
              <w:t xml:space="preserve">Rate limit management and throttling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sz w:val="19"/>
                <w:szCs w:val="19"/>
                <w:rtl w:val="0"/>
              </w:rPr>
              <w:t xml:space="preserve">Model fine-tuning and training pipelines</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sz w:val="19"/>
                <w:szCs w:val="19"/>
                <w:rtl w:val="0"/>
              </w:rPr>
              <w:t xml:space="preserve">Vendor failover and load balancing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sz w:val="19"/>
                <w:szCs w:val="19"/>
                <w:rtl w:val="0"/>
              </w:rPr>
              <w:t xml:space="preserve">Evaluation benchmarking and model selection</w:t>
            </w:r>
            <w:r w:rsidDel="00000000" w:rsidR="00000000" w:rsidRPr="00000000">
              <w:rPr>
                <w:rtl w:val="0"/>
              </w:rPr>
            </w:r>
          </w:p>
        </w:tc>
      </w:tr>
    </w:tbl>
    <w:p w:rsidR="00000000" w:rsidDel="00000000" w:rsidP="00000000" w:rsidRDefault="00000000" w:rsidRPr="00000000" w14:paraId="00000047">
      <w:pPr>
        <w:spacing w:after="300" w:lineRule="auto"/>
        <w:rPr/>
      </w:pPr>
      <w:r w:rsidDel="00000000" w:rsidR="00000000" w:rsidRPr="00000000">
        <w:rPr>
          <w:rtl w:val="0"/>
        </w:rPr>
      </w:r>
    </w:p>
    <w:p w:rsidR="00000000" w:rsidDel="00000000" w:rsidP="00000000" w:rsidRDefault="00000000" w:rsidRPr="00000000" w14:paraId="0000004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4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5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65">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8">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66">
      <w:pPr>
        <w:pageBreakBefore w:val="1"/>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02 — Core Architecture of the AI Gateway</w:t>
      </w:r>
    </w:p>
    <w:p w:rsidR="00000000" w:rsidDel="00000000" w:rsidP="00000000" w:rsidRDefault="00000000" w:rsidRPr="00000000" w14:paraId="00000068">
      <w:pPr>
        <w:pBdr>
          <w:bottom w:color="0a6e7a" w:space="1" w:sz="6" w:val="single"/>
        </w:pBdr>
        <w:spacing w:after="60" w:before="60" w:lineRule="auto"/>
        <w:rPr/>
      </w:pP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sz w:val="21"/>
          <w:szCs w:val="21"/>
          <w:rtl w:val="0"/>
        </w:rPr>
        <w:t xml:space="preserve">The AI Gateway sits between all internal consumers (applications, APIs, human interfaces) and all AI model providers (commercial APIs, open-source deployments, custom models). It is the single enforcement point for security, policy, cost control, and observability.</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The Five Core Layers</w:t>
      </w:r>
    </w:p>
    <w:p w:rsidR="00000000" w:rsidDel="00000000" w:rsidP="00000000" w:rsidRDefault="00000000" w:rsidRPr="00000000" w14:paraId="0000006B">
      <w:pPr>
        <w:spacing w:after="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
        <w:gridCol w:w="9037"/>
        <w:tblGridChange w:id="0">
          <w:tblGrid>
            <w:gridCol w:w="323"/>
            <w:gridCol w:w="90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120.0" w:type="dxa"/>
              <w:left w:w="60.0" w:type="dxa"/>
              <w:bottom w:w="120.0" w:type="dxa"/>
              <w:right w:w="60.0" w:type="dxa"/>
            </w:tcMar>
            <w:vAlign w:val="cente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06D">
            <w:pPr>
              <w:spacing w:after="60" w:lineRule="auto"/>
              <w:rPr/>
            </w:pPr>
            <w:r w:rsidDel="00000000" w:rsidR="00000000" w:rsidRPr="00000000">
              <w:rPr>
                <w:b w:val="1"/>
                <w:bCs w:val="1"/>
                <w:color w:val="0f2040"/>
                <w:sz w:val="21"/>
                <w:szCs w:val="21"/>
                <w:rtl w:val="0"/>
              </w:rPr>
              <w:t xml:space="preserve">Ingress &amp; Authentication Layer</w:t>
            </w:r>
            <w:r w:rsidDel="00000000" w:rsidR="00000000" w:rsidRPr="00000000">
              <w:rPr>
                <w:rtl w:val="0"/>
              </w:rPr>
            </w:r>
          </w:p>
          <w:p w:rsidR="00000000" w:rsidDel="00000000" w:rsidP="00000000" w:rsidRDefault="00000000" w:rsidRPr="00000000" w14:paraId="0000006E">
            <w:pPr>
              <w:rPr/>
            </w:pPr>
            <w:r w:rsidDel="00000000" w:rsidR="00000000" w:rsidRPr="00000000">
              <w:rPr>
                <w:sz w:val="20"/>
                <w:szCs w:val="20"/>
                <w:rtl w:val="0"/>
              </w:rPr>
              <w:t xml:space="preserve">All AI requests enter through a unified API endpoint. Authentication is enforced via service account tokens, OAuth 2.0, or API keys scoped to specific consumers. No direct provider access is permitted for production workloads. The ingress layer validates request origin, consumer identity, and request format before any forwarding occurs.</w:t>
            </w:r>
            <w:r w:rsidDel="00000000" w:rsidR="00000000" w:rsidRPr="00000000">
              <w:rPr>
                <w:rtl w:val="0"/>
              </w:rPr>
            </w:r>
          </w:p>
        </w:tc>
      </w:tr>
    </w:tbl>
    <w:p w:rsidR="00000000" w:rsidDel="00000000" w:rsidP="00000000" w:rsidRDefault="00000000" w:rsidRPr="00000000" w14:paraId="0000006F">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
        <w:gridCol w:w="9037"/>
        <w:tblGridChange w:id="0">
          <w:tblGrid>
            <w:gridCol w:w="323"/>
            <w:gridCol w:w="90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120.0" w:type="dxa"/>
              <w:left w:w="60.0" w:type="dxa"/>
              <w:bottom w:w="120.0" w:type="dxa"/>
              <w:right w:w="60.0" w:type="dxa"/>
            </w:tcMar>
            <w:vAlign w:val="cente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071">
            <w:pPr>
              <w:spacing w:after="60" w:lineRule="auto"/>
              <w:rPr/>
            </w:pPr>
            <w:r w:rsidDel="00000000" w:rsidR="00000000" w:rsidRPr="00000000">
              <w:rPr>
                <w:b w:val="1"/>
                <w:bCs w:val="1"/>
                <w:color w:val="0a6e7a"/>
                <w:sz w:val="21"/>
                <w:szCs w:val="21"/>
                <w:rtl w:val="0"/>
              </w:rPr>
              <w:t xml:space="preserve">Policy Engine</w:t>
            </w:r>
            <w:r w:rsidDel="00000000" w:rsidR="00000000" w:rsidRPr="00000000">
              <w:rPr>
                <w:rtl w:val="0"/>
              </w:rPr>
            </w:r>
          </w:p>
          <w:p w:rsidR="00000000" w:rsidDel="00000000" w:rsidP="00000000" w:rsidRDefault="00000000" w:rsidRPr="00000000" w14:paraId="00000072">
            <w:pPr>
              <w:rPr/>
            </w:pPr>
            <w:r w:rsidDel="00000000" w:rsidR="00000000" w:rsidRPr="00000000">
              <w:rPr>
                <w:sz w:val="20"/>
                <w:szCs w:val="20"/>
                <w:rtl w:val="0"/>
              </w:rPr>
              <w:t xml:space="preserve">Once authenticated, requests pass through a declarative policy engine. Policies define: which consumers can access which models, at what volume and cost, with what data classification requirements, and under which audit conditions. Policies are version-controlled and peer-reviewed before deployment. They are the source of truth for AI access control across the organisation.</w:t>
            </w:r>
            <w:r w:rsidDel="00000000" w:rsidR="00000000" w:rsidRPr="00000000">
              <w:rPr>
                <w:rtl w:val="0"/>
              </w:rPr>
            </w:r>
          </w:p>
        </w:tc>
      </w:tr>
    </w:tbl>
    <w:p w:rsidR="00000000" w:rsidDel="00000000" w:rsidP="00000000" w:rsidRDefault="00000000" w:rsidRPr="00000000" w14:paraId="00000073">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
        <w:gridCol w:w="9037"/>
        <w:tblGridChange w:id="0">
          <w:tblGrid>
            <w:gridCol w:w="323"/>
            <w:gridCol w:w="90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120.0" w:type="dxa"/>
              <w:left w:w="60.0" w:type="dxa"/>
              <w:bottom w:w="120.0" w:type="dxa"/>
              <w:right w:w="6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075">
            <w:pPr>
              <w:spacing w:after="60" w:lineRule="auto"/>
              <w:rPr/>
            </w:pPr>
            <w:r w:rsidDel="00000000" w:rsidR="00000000" w:rsidRPr="00000000">
              <w:rPr>
                <w:b w:val="1"/>
                <w:bCs w:val="1"/>
                <w:color w:val="b03a2e"/>
                <w:sz w:val="21"/>
                <w:szCs w:val="21"/>
                <w:rtl w:val="0"/>
              </w:rPr>
              <w:t xml:space="preserve">Data Classification &amp; PII Scanner</w:t>
            </w:r>
            <w:r w:rsidDel="00000000" w:rsidR="00000000" w:rsidRPr="00000000">
              <w:rPr>
                <w:rtl w:val="0"/>
              </w:rPr>
            </w:r>
          </w:p>
          <w:p w:rsidR="00000000" w:rsidDel="00000000" w:rsidP="00000000" w:rsidRDefault="00000000" w:rsidRPr="00000000" w14:paraId="00000076">
            <w:pPr>
              <w:rPr/>
            </w:pPr>
            <w:r w:rsidDel="00000000" w:rsidR="00000000" w:rsidRPr="00000000">
              <w:rPr>
                <w:sz w:val="20"/>
                <w:szCs w:val="20"/>
                <w:rtl w:val="0"/>
              </w:rPr>
              <w:t xml:space="preserve">Every request payload is scanned for sensitive data patterns before transmission to any external provider. This includes personal identifiers, financial data, health information, and proprietary intellectual property. Detected content is either blocked, masked, or flagged depending on the classification policy for the requesting consumer and the target model.</w:t>
            </w:r>
            <w:r w:rsidDel="00000000" w:rsidR="00000000" w:rsidRPr="00000000">
              <w:rPr>
                <w:rtl w:val="0"/>
              </w:rPr>
            </w:r>
          </w:p>
        </w:tc>
      </w:tr>
    </w:tbl>
    <w:p w:rsidR="00000000" w:rsidDel="00000000" w:rsidP="00000000" w:rsidRDefault="00000000" w:rsidRPr="00000000" w14:paraId="00000077">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
        <w:gridCol w:w="9037"/>
        <w:tblGridChange w:id="0">
          <w:tblGrid>
            <w:gridCol w:w="323"/>
            <w:gridCol w:w="90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20.0" w:type="dxa"/>
              <w:left w:w="60.0" w:type="dxa"/>
              <w:bottom w:w="120.0" w:type="dxa"/>
              <w:right w:w="60.0" w:type="dxa"/>
            </w:tcMar>
            <w:vAlign w:val="cente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079">
            <w:pPr>
              <w:spacing w:after="60" w:lineRule="auto"/>
              <w:rPr/>
            </w:pPr>
            <w:r w:rsidDel="00000000" w:rsidR="00000000" w:rsidRPr="00000000">
              <w:rPr>
                <w:b w:val="1"/>
                <w:bCs w:val="1"/>
                <w:color w:val="065f46"/>
                <w:sz w:val="21"/>
                <w:szCs w:val="21"/>
                <w:rtl w:val="0"/>
              </w:rPr>
              <w:t xml:space="preserve">Routing &amp; Load Balancing</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Approved requests are routed to the appropriate model provider based on the routing policy. The routing layer manages provider failover, load distribution across model instances, latency-based routing, and cost-optimised model selection. Consumer applications are decoupled from provider endpoints — provider changes require no application code changes.</w:t>
            </w:r>
            <w:r w:rsidDel="00000000" w:rsidR="00000000" w:rsidRPr="00000000">
              <w:rPr>
                <w:rtl w:val="0"/>
              </w:rPr>
            </w:r>
          </w:p>
        </w:tc>
      </w:tr>
    </w:tbl>
    <w:p w:rsidR="00000000" w:rsidDel="00000000" w:rsidP="00000000" w:rsidRDefault="00000000" w:rsidRPr="00000000" w14:paraId="0000007B">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
        <w:gridCol w:w="9037"/>
        <w:tblGridChange w:id="0">
          <w:tblGrid>
            <w:gridCol w:w="323"/>
            <w:gridCol w:w="90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c1d95" w:val="clear"/>
            <w:tcMar>
              <w:top w:w="120.0" w:type="dxa"/>
              <w:left w:w="60.0" w:type="dxa"/>
              <w:bottom w:w="120.0" w:type="dxa"/>
              <w:right w:w="6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07D">
            <w:pPr>
              <w:spacing w:after="60" w:lineRule="auto"/>
              <w:rPr/>
            </w:pPr>
            <w:r w:rsidDel="00000000" w:rsidR="00000000" w:rsidRPr="00000000">
              <w:rPr>
                <w:b w:val="1"/>
                <w:bCs w:val="1"/>
                <w:color w:val="4c1d95"/>
                <w:sz w:val="21"/>
                <w:szCs w:val="21"/>
                <w:rtl w:val="0"/>
              </w:rPr>
              <w:t xml:space="preserve">Observability &amp; Audit Engine</w:t>
            </w:r>
            <w:r w:rsidDel="00000000" w:rsidR="00000000" w:rsidRPr="00000000">
              <w:rPr>
                <w:rtl w:val="0"/>
              </w:rPr>
            </w:r>
          </w:p>
          <w:p w:rsidR="00000000" w:rsidDel="00000000" w:rsidP="00000000" w:rsidRDefault="00000000" w:rsidRPr="00000000" w14:paraId="0000007E">
            <w:pPr>
              <w:rPr/>
            </w:pPr>
            <w:r w:rsidDel="00000000" w:rsidR="00000000" w:rsidRPr="00000000">
              <w:rPr>
                <w:sz w:val="20"/>
                <w:szCs w:val="20"/>
                <w:rtl w:val="0"/>
              </w:rPr>
              <w:t xml:space="preserve">Every request and response is logged with full context: consumer identity, model target, input hash, output hash, latency, token count, cost, and policy evaluation result. Logs are immutable and retention-controlled. Dashboards expose real-time cost, usage, and anomaly signals. Alerts fire on budget overruns, unusual access patterns, and policy violations.</w:t>
            </w:r>
            <w:r w:rsidDel="00000000" w:rsidR="00000000" w:rsidRPr="00000000">
              <w:rPr>
                <w:rtl w:val="0"/>
              </w:rPr>
            </w:r>
          </w:p>
        </w:tc>
      </w:tr>
    </w:tbl>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spacing w:after="300" w:lineRule="auto"/>
        <w:rPr/>
      </w:pPr>
      <w:r w:rsidDel="00000000" w:rsidR="00000000" w:rsidRPr="00000000">
        <w:rPr>
          <w:rtl w:val="0"/>
        </w:rPr>
      </w:r>
    </w:p>
    <w:p w:rsidR="00000000" w:rsidDel="00000000" w:rsidP="00000000" w:rsidRDefault="00000000" w:rsidRPr="00000000" w14:paraId="00000081">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9">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82">
      <w:pPr>
        <w:pageBreakBefore w:val="1"/>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03 — Security Framework</w:t>
      </w:r>
    </w:p>
    <w:p w:rsidR="00000000" w:rsidDel="00000000" w:rsidP="00000000" w:rsidRDefault="00000000" w:rsidRPr="00000000" w14:paraId="00000084">
      <w:pPr>
        <w:pBdr>
          <w:bottom w:color="b03a2e" w:space="1" w:sz="6" w:val="single"/>
        </w:pBdr>
        <w:spacing w:after="60" w:before="60" w:lineRule="auto"/>
        <w:rPr/>
      </w:pP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120" w:line="300" w:lineRule="auto"/>
        <w:rPr/>
      </w:pPr>
      <w:r w:rsidDel="00000000" w:rsidR="00000000" w:rsidRPr="00000000">
        <w:rPr>
          <w:sz w:val="21"/>
          <w:szCs w:val="21"/>
          <w:rtl w:val="0"/>
        </w:rPr>
        <w:t xml:space="preserve">The security model of the AI Gateway is built on the principle that all AI model access is privileged access. Every request represents potential exposure of organisational data and potential influence on organisational decision-making. The security framework applies the same rigour to AI access that a mature organisation applies to database and production system access.</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Authentication &amp; Identity</w:t>
      </w:r>
    </w:p>
    <w:p w:rsidR="00000000" w:rsidDel="00000000" w:rsidP="00000000" w:rsidRDefault="00000000" w:rsidRPr="00000000" w14:paraId="00000089">
      <w:pPr>
        <w:spacing w:after="120" w:line="300" w:lineRule="auto"/>
        <w:rPr/>
      </w:pPr>
      <w:r w:rsidDel="00000000" w:rsidR="00000000" w:rsidRPr="00000000">
        <w:rPr>
          <w:sz w:val="21"/>
          <w:szCs w:val="21"/>
          <w:rtl w:val="0"/>
        </w:rPr>
        <w:t xml:space="preserve">Every consumer of the AI Gateway — whether a human user, an application, an automated pipeline, or a microservice — must authenticate with a scoped identity before any model access is granted.</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Service accounts are issued per application, not per team. This enables fine-grained audit attribution and precise revocation.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Human access tokens expire after 8 hours by default and require MFA re-authentication for high-risk model tiers.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API keys for automated pipelines are scoped to specific model families and specific request volumes. They cannot be elevated at runtime.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All authentication events are logged with source IP, device fingerprint, and consumer identity. Failed authentication triggers real-time alerting.</w:t>
      </w: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Authorisation &amp; Access Tiers</w:t>
      </w:r>
    </w:p>
    <w:p w:rsidR="00000000" w:rsidDel="00000000" w:rsidP="00000000" w:rsidRDefault="00000000" w:rsidRPr="00000000" w14:paraId="00000091">
      <w:pPr>
        <w:spacing w:after="120" w:line="300" w:lineRule="auto"/>
        <w:rPr/>
      </w:pPr>
      <w:r w:rsidDel="00000000" w:rsidR="00000000" w:rsidRPr="00000000">
        <w:rPr>
          <w:sz w:val="21"/>
          <w:szCs w:val="21"/>
          <w:rtl w:val="0"/>
        </w:rPr>
        <w:t xml:space="preserve">Access to AI models is governed by a tiered authorisation model aligned to model capability and data risk:</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800"/>
        <w:gridCol w:w="2760"/>
        <w:gridCol w:w="2300"/>
        <w:tblGridChange w:id="0">
          <w:tblGrid>
            <w:gridCol w:w="1500"/>
            <w:gridCol w:w="2800"/>
            <w:gridCol w:w="276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93">
            <w:pPr>
              <w:rPr/>
            </w:pPr>
            <w:r w:rsidDel="00000000" w:rsidR="00000000" w:rsidRPr="00000000">
              <w:rPr>
                <w:b w:val="1"/>
                <w:bCs w:val="1"/>
                <w:color w:val="ffffff"/>
                <w:sz w:val="19"/>
                <w:szCs w:val="19"/>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Model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Access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096">
            <w:pPr>
              <w:rPr/>
            </w:pPr>
            <w:r w:rsidDel="00000000" w:rsidR="00000000" w:rsidRPr="00000000">
              <w:rPr>
                <w:b w:val="1"/>
                <w:bCs w:val="1"/>
                <w:color w:val="ffffff"/>
                <w:sz w:val="19"/>
                <w:szCs w:val="19"/>
                <w:rtl w:val="0"/>
              </w:rPr>
              <w:t xml:space="preserve">Data Permitted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97">
            <w:pPr>
              <w:rPr/>
            </w:pPr>
            <w:r w:rsidDel="00000000" w:rsidR="00000000" w:rsidRPr="00000000">
              <w:rPr>
                <w:sz w:val="19"/>
                <w:szCs w:val="19"/>
                <w:rtl w:val="0"/>
              </w:rPr>
              <w:t xml:space="preserve">Tier 1 — General</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98">
            <w:pPr>
              <w:rPr/>
            </w:pPr>
            <w:r w:rsidDel="00000000" w:rsidR="00000000" w:rsidRPr="00000000">
              <w:rPr>
                <w:sz w:val="19"/>
                <w:szCs w:val="19"/>
                <w:rtl w:val="0"/>
              </w:rPr>
              <w:t xml:space="preserve">GPT-3.5, Llama 7B</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99">
            <w:pPr>
              <w:rPr/>
            </w:pPr>
            <w:r w:rsidDel="00000000" w:rsidR="00000000" w:rsidRPr="00000000">
              <w:rPr>
                <w:sz w:val="19"/>
                <w:szCs w:val="19"/>
                <w:rtl w:val="0"/>
              </w:rPr>
              <w:t xml:space="preserve">Standard auth</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9A">
            <w:pPr>
              <w:rPr/>
            </w:pPr>
            <w:r w:rsidDel="00000000" w:rsidR="00000000" w:rsidRPr="00000000">
              <w:rPr>
                <w:sz w:val="19"/>
                <w:szCs w:val="19"/>
                <w:rtl w:val="0"/>
              </w:rPr>
              <w:t xml:space="preserve">Public / Internal</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9B">
            <w:pPr>
              <w:rPr/>
            </w:pPr>
            <w:r w:rsidDel="00000000" w:rsidR="00000000" w:rsidRPr="00000000">
              <w:rPr>
                <w:sz w:val="19"/>
                <w:szCs w:val="19"/>
                <w:rtl w:val="0"/>
              </w:rPr>
              <w:t xml:space="preserve">Tier 2 — Advanced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9C">
            <w:pPr>
              <w:rPr/>
            </w:pPr>
            <w:r w:rsidDel="00000000" w:rsidR="00000000" w:rsidRPr="00000000">
              <w:rPr>
                <w:sz w:val="19"/>
                <w:szCs w:val="19"/>
                <w:rtl w:val="0"/>
              </w:rPr>
              <w:t xml:space="preserve">GPT-4o, Claude 3</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9D">
            <w:pPr>
              <w:rPr/>
            </w:pPr>
            <w:r w:rsidDel="00000000" w:rsidR="00000000" w:rsidRPr="00000000">
              <w:rPr>
                <w:sz w:val="19"/>
                <w:szCs w:val="19"/>
                <w:rtl w:val="0"/>
              </w:rPr>
              <w:t xml:space="preserve">MFA + Manager approval</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9E">
            <w:pPr>
              <w:rPr/>
            </w:pPr>
            <w:r w:rsidDel="00000000" w:rsidR="00000000" w:rsidRPr="00000000">
              <w:rPr>
                <w:sz w:val="19"/>
                <w:szCs w:val="19"/>
                <w:rtl w:val="0"/>
              </w:rPr>
              <w:t xml:space="preserve">Internal / Confidential</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9F">
            <w:pPr>
              <w:rPr/>
            </w:pPr>
            <w:r w:rsidDel="00000000" w:rsidR="00000000" w:rsidRPr="00000000">
              <w:rPr>
                <w:sz w:val="19"/>
                <w:szCs w:val="19"/>
                <w:rtl w:val="0"/>
              </w:rPr>
              <w:t xml:space="preserve">Tier 3 — Sensitive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A0">
            <w:pPr>
              <w:rPr/>
            </w:pPr>
            <w:r w:rsidDel="00000000" w:rsidR="00000000" w:rsidRPr="00000000">
              <w:rPr>
                <w:sz w:val="19"/>
                <w:szCs w:val="19"/>
                <w:rtl w:val="0"/>
              </w:rPr>
              <w:t xml:space="preserve">Custom fine-tuned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A1">
            <w:pPr>
              <w:rPr/>
            </w:pPr>
            <w:r w:rsidDel="00000000" w:rsidR="00000000" w:rsidRPr="00000000">
              <w:rPr>
                <w:sz w:val="19"/>
                <w:szCs w:val="19"/>
                <w:rtl w:val="0"/>
              </w:rPr>
              <w:t xml:space="preserve">CISO sign-off + review</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A2">
            <w:pPr>
              <w:rPr/>
            </w:pPr>
            <w:r w:rsidDel="00000000" w:rsidR="00000000" w:rsidRPr="00000000">
              <w:rPr>
                <w:sz w:val="19"/>
                <w:szCs w:val="19"/>
                <w:rtl w:val="0"/>
              </w:rPr>
              <w:t xml:space="preserve">Confidential only</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A3">
            <w:pPr>
              <w:rPr/>
            </w:pPr>
            <w:r w:rsidDel="00000000" w:rsidR="00000000" w:rsidRPr="00000000">
              <w:rPr>
                <w:sz w:val="19"/>
                <w:szCs w:val="19"/>
                <w:rtl w:val="0"/>
              </w:rPr>
              <w:t xml:space="preserve">Tier 4 — Restricted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A4">
            <w:pPr>
              <w:rPr/>
            </w:pPr>
            <w:r w:rsidDel="00000000" w:rsidR="00000000" w:rsidRPr="00000000">
              <w:rPr>
                <w:sz w:val="19"/>
                <w:szCs w:val="19"/>
                <w:rtl w:val="0"/>
              </w:rPr>
              <w:t xml:space="preserve">Regulated domain models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A5">
            <w:pPr>
              <w:rPr/>
            </w:pPr>
            <w:r w:rsidDel="00000000" w:rsidR="00000000" w:rsidRPr="00000000">
              <w:rPr>
                <w:sz w:val="19"/>
                <w:szCs w:val="19"/>
                <w:rtl w:val="0"/>
              </w:rPr>
              <w:t xml:space="preserve">Board-level approval</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rPr/>
            </w:pPr>
            <w:r w:rsidDel="00000000" w:rsidR="00000000" w:rsidRPr="00000000">
              <w:rPr>
                <w:sz w:val="19"/>
                <w:szCs w:val="19"/>
                <w:rtl w:val="0"/>
              </w:rPr>
              <w:t xml:space="preserve">Restricted (no PII)</w:t>
            </w:r>
            <w:r w:rsidDel="00000000" w:rsidR="00000000" w:rsidRPr="00000000">
              <w:rPr>
                <w:rtl w:val="0"/>
              </w:rPr>
            </w:r>
          </w:p>
        </w:tc>
      </w:tr>
    </w:tbl>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Data Classification &amp; PII Controls</w:t>
      </w:r>
    </w:p>
    <w:p w:rsidR="00000000" w:rsidDel="00000000" w:rsidP="00000000" w:rsidRDefault="00000000" w:rsidRPr="00000000" w14:paraId="000000A9">
      <w:pPr>
        <w:spacing w:after="120" w:line="300" w:lineRule="auto"/>
        <w:rPr/>
      </w:pPr>
      <w:r w:rsidDel="00000000" w:rsidR="00000000" w:rsidRPr="00000000">
        <w:rPr>
          <w:sz w:val="21"/>
          <w:szCs w:val="21"/>
          <w:rtl w:val="0"/>
        </w:rPr>
        <w:t xml:space="preserve">The gateway applies a four-level data classification framework to all request payloads before forwarding to any external provider:</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Public — no restrictions on model access; external provider transmission permitted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Internal — permitted to Tier 1 and above; full audit logging required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Confidential — PII scan mandatory; only anonymised or pseudonymised data permitted to external providers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Restricted — no external provider transmission under any circumstances; on-premises models only</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60.0" w:type="dxa"/>
              <w:left w:w="60.0" w:type="dxa"/>
              <w:bottom w:w="60.0" w:type="dxa"/>
              <w:right w:w="60.0" w:type="dxa"/>
            </w:tcMar>
          </w:tcPr>
          <w:p w:rsidR="00000000" w:rsidDel="00000000" w:rsidP="00000000" w:rsidRDefault="00000000" w:rsidRPr="00000000" w14:paraId="000000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20.0" w:type="dxa"/>
              <w:left w:w="180.0" w:type="dxa"/>
              <w:bottom w:w="120.0" w:type="dxa"/>
              <w:right w:w="180.0" w:type="dxa"/>
            </w:tcMar>
          </w:tcPr>
          <w:p w:rsidR="00000000" w:rsidDel="00000000" w:rsidP="00000000" w:rsidRDefault="00000000" w:rsidRPr="00000000" w14:paraId="000000B1">
            <w:pPr>
              <w:spacing w:after="50" w:lineRule="auto"/>
              <w:rPr/>
            </w:pPr>
            <w:r w:rsidDel="00000000" w:rsidR="00000000" w:rsidRPr="00000000">
              <w:rPr>
                <w:b w:val="1"/>
                <w:bCs w:val="1"/>
                <w:color w:val="b03a2e"/>
                <w:sz w:val="20"/>
                <w:szCs w:val="20"/>
                <w:rtl w:val="0"/>
              </w:rPr>
              <w:t xml:space="preserve">Security Design Principle</w:t>
            </w:r>
            <w:r w:rsidDel="00000000" w:rsidR="00000000" w:rsidRPr="00000000">
              <w:rPr>
                <w:rtl w:val="0"/>
              </w:rPr>
            </w:r>
          </w:p>
          <w:p w:rsidR="00000000" w:rsidDel="00000000" w:rsidP="00000000" w:rsidRDefault="00000000" w:rsidRPr="00000000" w14:paraId="000000B2">
            <w:pPr>
              <w:rPr/>
            </w:pPr>
            <w:r w:rsidDel="00000000" w:rsidR="00000000" w:rsidRPr="00000000">
              <w:rPr>
                <w:sz w:val="20"/>
                <w:szCs w:val="20"/>
                <w:rtl w:val="0"/>
              </w:rPr>
              <w:t xml:space="preserve">The gateway defaults to deny. Any model access that cannot be positively authorised by an active policy is rejected. There is no implicit permission for any consumer. This is a reversal of the typical enterprise pattern, where access is granted by default and restricted reactively.</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Audit &amp; Compliance</w:t>
      </w:r>
    </w:p>
    <w:p w:rsidR="00000000" w:rsidDel="00000000" w:rsidP="00000000" w:rsidRDefault="00000000" w:rsidRPr="00000000" w14:paraId="000000B5">
      <w:pPr>
        <w:spacing w:after="120" w:line="300" w:lineRule="auto"/>
        <w:rPr/>
      </w:pPr>
      <w:r w:rsidDel="00000000" w:rsidR="00000000" w:rsidRPr="00000000">
        <w:rPr>
          <w:sz w:val="21"/>
          <w:szCs w:val="21"/>
          <w:rtl w:val="0"/>
        </w:rPr>
        <w:t xml:space="preserve">All gateway activity produces an immutable audit record containing: consumer identity, timestamp, model endpoint, request hash (not content, for privacy), response hash, token count, latency, cost, policy evaluation result, and any data classification flags raised.</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Audit logs are retained for a minimum of 12 months by default, configurable to 7 years for regulated sectors.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Log integrity is verified via hash chaining. Any tampering with historical logs is detectable.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Quarterly audit reports are generated automatically and surfaced to the CISO and relevant Compliance officers.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Anomaly detection runs continuously on access patterns. Deviations from baseline trigger automated alerts.</w:t>
      </w:r>
      <w:r w:rsidDel="00000000" w:rsidR="00000000" w:rsidRPr="00000000">
        <w:rPr>
          <w:rtl w:val="0"/>
        </w:rPr>
      </w:r>
    </w:p>
    <w:p w:rsidR="00000000" w:rsidDel="00000000" w:rsidP="00000000" w:rsidRDefault="00000000" w:rsidRPr="00000000" w14:paraId="000000BB">
      <w:pPr>
        <w:spacing w:after="300" w:lineRule="auto"/>
        <w:rPr/>
      </w:pPr>
      <w:r w:rsidDel="00000000" w:rsidR="00000000" w:rsidRPr="00000000">
        <w:rPr>
          <w:rtl w:val="0"/>
        </w:rPr>
      </w:r>
    </w:p>
    <w:p w:rsidR="00000000" w:rsidDel="00000000" w:rsidP="00000000" w:rsidRDefault="00000000" w:rsidRPr="00000000" w14:paraId="000000B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B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B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B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C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D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0D1">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0">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D2">
      <w:pPr>
        <w:pageBreakBefore w:val="1"/>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04 — Cost Control &amp; Financial Governance</w:t>
      </w:r>
    </w:p>
    <w:p w:rsidR="00000000" w:rsidDel="00000000" w:rsidP="00000000" w:rsidRDefault="00000000" w:rsidRPr="00000000" w14:paraId="000000D4">
      <w:pPr>
        <w:pBdr>
          <w:bottom w:color="8a6010" w:space="1" w:sz="6" w:val="single"/>
        </w:pBdr>
        <w:spacing w:after="60" w:before="60" w:lineRule="auto"/>
        <w:rPr/>
      </w:pP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spacing w:after="120" w:line="300" w:lineRule="auto"/>
        <w:rPr/>
      </w:pPr>
      <w:r w:rsidDel="00000000" w:rsidR="00000000" w:rsidRPr="00000000">
        <w:rPr>
          <w:sz w:val="21"/>
          <w:szCs w:val="21"/>
          <w:rtl w:val="0"/>
        </w:rPr>
        <w:t xml:space="preserve">AI compute costs are among the fastest-growing line items on enterprise cloud bills. Without a structured cost control architecture, organisations experience token cost explosions driven by inefficient prompting, redundant API calls, uncapped experimental usage, and the absence of any budget enforcement mechanism. The AI Gateway resolves this through a four-layer financial governance framework.</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Layer 1: Budget Allocation &amp; Enforcement</w:t>
      </w:r>
    </w:p>
    <w:p w:rsidR="00000000" w:rsidDel="00000000" w:rsidP="00000000" w:rsidRDefault="00000000" w:rsidRPr="00000000" w14:paraId="000000D9">
      <w:pPr>
        <w:spacing w:after="120" w:line="300" w:lineRule="auto"/>
        <w:rPr/>
      </w:pPr>
      <w:r w:rsidDel="00000000" w:rsidR="00000000" w:rsidRPr="00000000">
        <w:rPr>
          <w:sz w:val="21"/>
          <w:szCs w:val="21"/>
          <w:rtl w:val="0"/>
        </w:rPr>
        <w:t xml:space="preserve">Every consumer of the AI Gateway operates within a defined budget envelope. Budgets are set at the organisational unit level and cascade to team and application levels. The gateway enforces budget limits in real time.</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Monthly token budgets are allocated per team, per application, and per model tier.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At 80% budget consumption, the gateway issues an automated alert to the team owner and their finance partner.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At 95% consumption, new non-critical requests are queued rather than rejected, to avoid breaking production workflows.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At 100% consumption, only requests tagged as business-critical (defined in the access policy) are permitted. All others are rejected with a structured error and a link to the budget escalation process.</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Layer 2: Model Cost Optimisation</w:t>
      </w:r>
    </w:p>
    <w:p w:rsidR="00000000" w:rsidDel="00000000" w:rsidP="00000000" w:rsidRDefault="00000000" w:rsidRPr="00000000" w14:paraId="000000E1">
      <w:pPr>
        <w:spacing w:after="120" w:line="300" w:lineRule="auto"/>
        <w:rPr/>
      </w:pPr>
      <w:r w:rsidDel="00000000" w:rsidR="00000000" w:rsidRPr="00000000">
        <w:rPr>
          <w:sz w:val="21"/>
          <w:szCs w:val="21"/>
          <w:rtl w:val="0"/>
        </w:rPr>
        <w:t xml:space="preserve">The gateway’s routing engine is cost-aware. For each request, the routing policy evaluates whether the task complexity justifies the model cost tier. Tasks that do not require frontier model capability are automatically routed to more cost-efficient models.</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80"/>
        <w:gridCol w:w="2280"/>
        <w:gridCol w:w="1800"/>
        <w:tblGridChange w:id="0">
          <w:tblGrid>
            <w:gridCol w:w="2400"/>
            <w:gridCol w:w="2880"/>
            <w:gridCol w:w="228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Task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Optimal Model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Cost vs. Frontier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Typical Saving</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E7">
            <w:pPr>
              <w:rPr/>
            </w:pPr>
            <w:r w:rsidDel="00000000" w:rsidR="00000000" w:rsidRPr="00000000">
              <w:rPr>
                <w:sz w:val="19"/>
                <w:szCs w:val="19"/>
                <w:rtl w:val="0"/>
              </w:rPr>
              <w:t xml:space="preserve">Classification &amp; routing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E8">
            <w:pPr>
              <w:rPr/>
            </w:pPr>
            <w:r w:rsidDel="00000000" w:rsidR="00000000" w:rsidRPr="00000000">
              <w:rPr>
                <w:sz w:val="19"/>
                <w:szCs w:val="19"/>
                <w:rtl w:val="0"/>
              </w:rPr>
              <w:t xml:space="preserve">Small / efficient (7B)</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E9">
            <w:pPr>
              <w:rPr/>
            </w:pPr>
            <w:r w:rsidDel="00000000" w:rsidR="00000000" w:rsidRPr="00000000">
              <w:rPr>
                <w:sz w:val="19"/>
                <w:szCs w:val="19"/>
                <w:rtl w:val="0"/>
              </w:rPr>
              <w:t xml:space="preserve">~2–10% of cost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EA">
            <w:pPr>
              <w:rPr/>
            </w:pPr>
            <w:r w:rsidDel="00000000" w:rsidR="00000000" w:rsidRPr="00000000">
              <w:rPr>
                <w:sz w:val="19"/>
                <w:szCs w:val="19"/>
                <w:rtl w:val="0"/>
              </w:rPr>
              <w:t xml:space="preserve">90–98%</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EB">
            <w:pPr>
              <w:rPr/>
            </w:pPr>
            <w:r w:rsidDel="00000000" w:rsidR="00000000" w:rsidRPr="00000000">
              <w:rPr>
                <w:sz w:val="19"/>
                <w:szCs w:val="19"/>
                <w:rtl w:val="0"/>
              </w:rPr>
              <w:t xml:space="preserve">Summarisation</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EC">
            <w:pPr>
              <w:rPr/>
            </w:pPr>
            <w:r w:rsidDel="00000000" w:rsidR="00000000" w:rsidRPr="00000000">
              <w:rPr>
                <w:sz w:val="19"/>
                <w:szCs w:val="19"/>
                <w:rtl w:val="0"/>
              </w:rPr>
              <w:t xml:space="preserve">Mid-tier (13–70B)</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ED">
            <w:pPr>
              <w:rPr/>
            </w:pPr>
            <w:r w:rsidDel="00000000" w:rsidR="00000000" w:rsidRPr="00000000">
              <w:rPr>
                <w:sz w:val="19"/>
                <w:szCs w:val="19"/>
                <w:rtl w:val="0"/>
              </w:rPr>
              <w:t xml:space="preserve">~10–30% of cost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EE">
            <w:pPr>
              <w:rPr/>
            </w:pPr>
            <w:r w:rsidDel="00000000" w:rsidR="00000000" w:rsidRPr="00000000">
              <w:rPr>
                <w:sz w:val="19"/>
                <w:szCs w:val="19"/>
                <w:rtl w:val="0"/>
              </w:rPr>
              <w:t xml:space="preserve">70–90%</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EF">
            <w:pPr>
              <w:rPr/>
            </w:pPr>
            <w:r w:rsidDel="00000000" w:rsidR="00000000" w:rsidRPr="00000000">
              <w:rPr>
                <w:sz w:val="19"/>
                <w:szCs w:val="19"/>
                <w:rtl w:val="0"/>
              </w:rPr>
              <w:t xml:space="preserve">RAG-based Q&amp;A</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0">
            <w:pPr>
              <w:rPr/>
            </w:pPr>
            <w:r w:rsidDel="00000000" w:rsidR="00000000" w:rsidRPr="00000000">
              <w:rPr>
                <w:sz w:val="19"/>
                <w:szCs w:val="19"/>
                <w:rtl w:val="0"/>
              </w:rPr>
              <w:t xml:space="preserve">Mid-tier + retrieval</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1">
            <w:pPr>
              <w:rPr/>
            </w:pPr>
            <w:r w:rsidDel="00000000" w:rsidR="00000000" w:rsidRPr="00000000">
              <w:rPr>
                <w:sz w:val="19"/>
                <w:szCs w:val="19"/>
                <w:rtl w:val="0"/>
              </w:rPr>
              <w:t xml:space="preserve">~20–40% of cost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2">
            <w:pPr>
              <w:rPr/>
            </w:pPr>
            <w:r w:rsidDel="00000000" w:rsidR="00000000" w:rsidRPr="00000000">
              <w:rPr>
                <w:sz w:val="19"/>
                <w:szCs w:val="19"/>
                <w:rtl w:val="0"/>
              </w:rPr>
              <w:t xml:space="preserve">60–80%</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F3">
            <w:pPr>
              <w:rPr/>
            </w:pPr>
            <w:r w:rsidDel="00000000" w:rsidR="00000000" w:rsidRPr="00000000">
              <w:rPr>
                <w:sz w:val="19"/>
                <w:szCs w:val="19"/>
                <w:rtl w:val="0"/>
              </w:rPr>
              <w:t xml:space="preserve">Complex reasoning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F4">
            <w:pPr>
              <w:rPr/>
            </w:pPr>
            <w:r w:rsidDel="00000000" w:rsidR="00000000" w:rsidRPr="00000000">
              <w:rPr>
                <w:sz w:val="19"/>
                <w:szCs w:val="19"/>
                <w:rtl w:val="0"/>
              </w:rPr>
              <w:t xml:space="preserve">Frontier (GPT-4o, Claude 3)</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F5">
            <w:pPr>
              <w:rPr/>
            </w:pPr>
            <w:r w:rsidDel="00000000" w:rsidR="00000000" w:rsidRPr="00000000">
              <w:rPr>
                <w:sz w:val="19"/>
                <w:szCs w:val="19"/>
                <w:rtl w:val="0"/>
              </w:rPr>
              <w:t xml:space="preserve">100% of cost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0F6">
            <w:pPr>
              <w:rPr/>
            </w:pPr>
            <w:r w:rsidDel="00000000" w:rsidR="00000000" w:rsidRPr="00000000">
              <w:rPr>
                <w:sz w:val="19"/>
                <w:szCs w:val="19"/>
                <w:rtl w:val="0"/>
              </w:rPr>
              <w:t xml:space="preserve">— baseline</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7">
            <w:pPr>
              <w:rPr/>
            </w:pPr>
            <w:r w:rsidDel="00000000" w:rsidR="00000000" w:rsidRPr="00000000">
              <w:rPr>
                <w:sz w:val="19"/>
                <w:szCs w:val="19"/>
                <w:rtl w:val="0"/>
              </w:rPr>
              <w:t xml:space="preserve">Code generation</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8">
            <w:pPr>
              <w:rPr/>
            </w:pPr>
            <w:r w:rsidDel="00000000" w:rsidR="00000000" w:rsidRPr="00000000">
              <w:rPr>
                <w:sz w:val="19"/>
                <w:szCs w:val="19"/>
                <w:rtl w:val="0"/>
              </w:rPr>
              <w:t xml:space="preserve">Code-specialised model</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9">
            <w:pPr>
              <w:rPr/>
            </w:pPr>
            <w:r w:rsidDel="00000000" w:rsidR="00000000" w:rsidRPr="00000000">
              <w:rPr>
                <w:sz w:val="19"/>
                <w:szCs w:val="19"/>
                <w:rtl w:val="0"/>
              </w:rPr>
              <w:t xml:space="preserve">~15–35% of cost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0FA">
            <w:pPr>
              <w:rPr/>
            </w:pPr>
            <w:r w:rsidDel="00000000" w:rsidR="00000000" w:rsidRPr="00000000">
              <w:rPr>
                <w:sz w:val="19"/>
                <w:szCs w:val="19"/>
                <w:rtl w:val="0"/>
              </w:rPr>
              <w:t xml:space="preserve">65–85%</w:t>
            </w:r>
            <w:r w:rsidDel="00000000" w:rsidR="00000000" w:rsidRPr="00000000">
              <w:rPr>
                <w:rtl w:val="0"/>
              </w:rPr>
            </w:r>
          </w:p>
        </w:tc>
      </w:tr>
    </w:tbl>
    <w:p w:rsidR="00000000" w:rsidDel="00000000" w:rsidP="00000000" w:rsidRDefault="00000000" w:rsidRPr="00000000" w14:paraId="000000FB">
      <w:pPr>
        <w:spacing w:after="100" w:lineRule="auto"/>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Layer 3: Caching &amp; Deduplication</w:t>
      </w:r>
    </w:p>
    <w:p w:rsidR="00000000" w:rsidDel="00000000" w:rsidP="00000000" w:rsidRDefault="00000000" w:rsidRPr="00000000" w14:paraId="000000FD">
      <w:pPr>
        <w:spacing w:after="120" w:line="300" w:lineRule="auto"/>
        <w:rPr/>
      </w:pPr>
      <w:r w:rsidDel="00000000" w:rsidR="00000000" w:rsidRPr="00000000">
        <w:rPr>
          <w:sz w:val="21"/>
          <w:szCs w:val="21"/>
          <w:rtl w:val="0"/>
        </w:rPr>
        <w:t xml:space="preserve">A significant fraction of enterprise AI spend is redundant. Multiple teams query the same model with semantically equivalent prompts and receive identical responses — each paying full token cost. The gateway resolves this through semantic caching.</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Exact-match caching: identical prompt strings return cached responses at zero additional cost.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Semantic caching: prompts with cosine similarity above a configurable threshold (default 0.95) return cached responses.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Cache TTL is configurable by model tier and use case. Time-sensitive queries (news, market data) use shorter TTLs than stable knowledge queries.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Cache hit rates of 15–40% are typical in the first 90 days for most enterprise deployments, translating directly to cost reduction.</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Layer 4: Showback &amp; Chargeback</w:t>
      </w:r>
    </w:p>
    <w:p w:rsidR="00000000" w:rsidDel="00000000" w:rsidP="00000000" w:rsidRDefault="00000000" w:rsidRPr="00000000" w14:paraId="00000105">
      <w:pPr>
        <w:spacing w:after="120" w:line="300" w:lineRule="auto"/>
        <w:rPr/>
      </w:pPr>
      <w:r w:rsidDel="00000000" w:rsidR="00000000" w:rsidRPr="00000000">
        <w:rPr>
          <w:sz w:val="21"/>
          <w:szCs w:val="21"/>
          <w:rtl w:val="0"/>
        </w:rPr>
        <w:t xml:space="preserve">The gateway produces a real-time cost attribution ledger. Every token consumed is attributed to a specific consumer, application, team, and project. This powers both showback (visibility without billing) and chargeback (actual cost allocation) models.</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Monthly cost reports are distributed automatically to team owners and budget holders.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Cost anomaly detection flags sudden increases in token consumption and attributes them to the responsible consumer.</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Finance partners receive a consolidated AI cost dashboard with department-level drill-down.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Chargeback integration with existing procurement and finance systems is handled via API.</w:t>
      </w:r>
      <w:r w:rsidDel="00000000" w:rsidR="00000000" w:rsidRPr="00000000">
        <w:rPr>
          <w:rtl w:val="0"/>
        </w:rPr>
      </w:r>
    </w:p>
    <w:p w:rsidR="00000000" w:rsidDel="00000000" w:rsidP="00000000" w:rsidRDefault="00000000" w:rsidRPr="00000000" w14:paraId="0000010B">
      <w:pPr>
        <w:spacing w:after="300" w:lineRule="auto"/>
        <w:rPr/>
      </w:pPr>
      <w:r w:rsidDel="00000000" w:rsidR="00000000" w:rsidRPr="00000000">
        <w:rPr>
          <w:rtl w:val="0"/>
        </w:rPr>
      </w:r>
    </w:p>
    <w:p w:rsidR="00000000" w:rsidDel="00000000" w:rsidP="00000000" w:rsidRDefault="00000000" w:rsidRPr="00000000" w14:paraId="0000010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0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0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0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1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2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2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2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23">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1">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24">
      <w:pPr>
        <w:pageBreakBefore w:val="1"/>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05 — Implementation Roadmap</w:t>
      </w:r>
    </w:p>
    <w:p w:rsidR="00000000" w:rsidDel="00000000" w:rsidP="00000000" w:rsidRDefault="00000000" w:rsidRPr="00000000" w14:paraId="00000126">
      <w:pPr>
        <w:pBdr>
          <w:bottom w:color="0a6e7a" w:space="1" w:sz="6" w:val="single"/>
        </w:pBdr>
        <w:spacing w:after="60" w:before="60" w:lineRule="auto"/>
        <w:rPr/>
      </w:pP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spacing w:after="120" w:line="300" w:lineRule="auto"/>
        <w:rPr/>
      </w:pPr>
      <w:r w:rsidDel="00000000" w:rsidR="00000000" w:rsidRPr="00000000">
        <w:rPr>
          <w:sz w:val="21"/>
          <w:szCs w:val="21"/>
          <w:rtl w:val="0"/>
        </w:rPr>
        <w:t xml:space="preserve">The AI Gateway is implemented in four phases over twelve weeks. Each phase has clear entry criteria, defined deliverables, and a measurable exit condition. No phase can be skipped — each one builds the organisational and technical foundation that makes the next phase viable.</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
        <w:gridCol w:w="1600"/>
        <w:gridCol w:w="2000"/>
        <w:gridCol w:w="2260"/>
        <w:gridCol w:w="2560"/>
        <w:tblGridChange w:id="0">
          <w:tblGrid>
            <w:gridCol w:w="940"/>
            <w:gridCol w:w="1600"/>
            <w:gridCol w:w="2000"/>
            <w:gridCol w:w="2260"/>
            <w:gridCol w:w="2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2A">
            <w:pPr>
              <w:rPr/>
            </w:pPr>
            <w:r w:rsidDel="00000000" w:rsidR="00000000" w:rsidRPr="00000000">
              <w:rPr>
                <w:b w:val="1"/>
                <w:bCs w:val="1"/>
                <w:color w:val="ffffff"/>
                <w:sz w:val="19"/>
                <w:szCs w:val="19"/>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2E">
            <w:pPr>
              <w:rPr/>
            </w:pPr>
            <w:r w:rsidDel="00000000" w:rsidR="00000000" w:rsidRPr="00000000">
              <w:rPr>
                <w:b w:val="1"/>
                <w:bCs w:val="1"/>
                <w:color w:val="ffffff"/>
                <w:sz w:val="19"/>
                <w:szCs w:val="19"/>
                <w:rtl w:val="0"/>
              </w:rPr>
              <w:t xml:space="preserve">Exit Criterion</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2F">
            <w:pPr>
              <w:rPr/>
            </w:pPr>
            <w:r w:rsidDel="00000000" w:rsidR="00000000" w:rsidRPr="00000000">
              <w:rPr>
                <w:sz w:val="19"/>
                <w:szCs w:val="19"/>
                <w:rtl w:val="0"/>
              </w:rPr>
              <w:t xml:space="preserve">01</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0">
            <w:pPr>
              <w:rPr/>
            </w:pPr>
            <w:r w:rsidDel="00000000" w:rsidR="00000000" w:rsidRPr="00000000">
              <w:rPr>
                <w:sz w:val="19"/>
                <w:szCs w:val="19"/>
                <w:rtl w:val="0"/>
              </w:rPr>
              <w:t xml:space="preserve">Week 1–3</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1">
            <w:pPr>
              <w:rPr/>
            </w:pPr>
            <w:r w:rsidDel="00000000" w:rsidR="00000000" w:rsidRPr="00000000">
              <w:rPr>
                <w:sz w:val="19"/>
                <w:szCs w:val="19"/>
                <w:rtl w:val="0"/>
              </w:rPr>
              <w:t xml:space="preserve">Foundation &amp; Discovery</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2">
            <w:pPr>
              <w:rPr/>
            </w:pPr>
            <w:r w:rsidDel="00000000" w:rsidR="00000000" w:rsidRPr="00000000">
              <w:rPr>
                <w:sz w:val="19"/>
                <w:szCs w:val="19"/>
                <w:rtl w:val="0"/>
              </w:rPr>
              <w:t xml:space="preserve">Platform Engineering + CISO</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3">
            <w:pPr>
              <w:rPr/>
            </w:pPr>
            <w:r w:rsidDel="00000000" w:rsidR="00000000" w:rsidRPr="00000000">
              <w:rPr>
                <w:sz w:val="19"/>
                <w:szCs w:val="19"/>
                <w:rtl w:val="0"/>
              </w:rPr>
              <w:t xml:space="preserve">Inventory complete; architecture approved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4">
            <w:pPr>
              <w:rPr/>
            </w:pPr>
            <w:r w:rsidDel="00000000" w:rsidR="00000000" w:rsidRPr="00000000">
              <w:rPr>
                <w:sz w:val="19"/>
                <w:szCs w:val="19"/>
                <w:rtl w:val="0"/>
              </w:rPr>
              <w:t xml:space="preserve">02</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5">
            <w:pPr>
              <w:rPr/>
            </w:pPr>
            <w:r w:rsidDel="00000000" w:rsidR="00000000" w:rsidRPr="00000000">
              <w:rPr>
                <w:sz w:val="19"/>
                <w:szCs w:val="19"/>
                <w:rtl w:val="0"/>
              </w:rPr>
              <w:t xml:space="preserve">Week 4–6</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6">
            <w:pPr>
              <w:rPr/>
            </w:pPr>
            <w:r w:rsidDel="00000000" w:rsidR="00000000" w:rsidRPr="00000000">
              <w:rPr>
                <w:sz w:val="19"/>
                <w:szCs w:val="19"/>
                <w:rtl w:val="0"/>
              </w:rPr>
              <w:t xml:space="preserve">Security &amp; Policy Layer</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rPr/>
            </w:pPr>
            <w:r w:rsidDel="00000000" w:rsidR="00000000" w:rsidRPr="00000000">
              <w:rPr>
                <w:sz w:val="19"/>
                <w:szCs w:val="19"/>
                <w:rtl w:val="0"/>
              </w:rPr>
              <w:t xml:space="preserve">Security Engineering + GRC</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8">
            <w:pPr>
              <w:rPr/>
            </w:pPr>
            <w:r w:rsidDel="00000000" w:rsidR="00000000" w:rsidRPr="00000000">
              <w:rPr>
                <w:sz w:val="19"/>
                <w:szCs w:val="19"/>
                <w:rtl w:val="0"/>
              </w:rPr>
              <w:t xml:space="preserve">Auth, audit, and PII controls live in staging</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9">
            <w:pPr>
              <w:rPr/>
            </w:pPr>
            <w:r w:rsidDel="00000000" w:rsidR="00000000" w:rsidRPr="00000000">
              <w:rPr>
                <w:sz w:val="19"/>
                <w:szCs w:val="19"/>
                <w:rtl w:val="0"/>
              </w:rPr>
              <w:t xml:space="preserve">03</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A">
            <w:pPr>
              <w:rPr/>
            </w:pPr>
            <w:r w:rsidDel="00000000" w:rsidR="00000000" w:rsidRPr="00000000">
              <w:rPr>
                <w:sz w:val="19"/>
                <w:szCs w:val="19"/>
                <w:rtl w:val="0"/>
              </w:rPr>
              <w:t xml:space="preserve">Week 7–9</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B">
            <w:pPr>
              <w:rPr/>
            </w:pPr>
            <w:r w:rsidDel="00000000" w:rsidR="00000000" w:rsidRPr="00000000">
              <w:rPr>
                <w:sz w:val="19"/>
                <w:szCs w:val="19"/>
                <w:rtl w:val="0"/>
              </w:rPr>
              <w:t xml:space="preserve">Cost Control &amp; Routing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C">
            <w:pPr>
              <w:rPr/>
            </w:pPr>
            <w:r w:rsidDel="00000000" w:rsidR="00000000" w:rsidRPr="00000000">
              <w:rPr>
                <w:sz w:val="19"/>
                <w:szCs w:val="19"/>
                <w:rtl w:val="0"/>
              </w:rPr>
              <w:t xml:space="preserve">FinOps + Platform Engineering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3D">
            <w:pPr>
              <w:rPr/>
            </w:pPr>
            <w:r w:rsidDel="00000000" w:rsidR="00000000" w:rsidRPr="00000000">
              <w:rPr>
                <w:sz w:val="19"/>
                <w:szCs w:val="19"/>
                <w:rtl w:val="0"/>
              </w:rPr>
              <w:t xml:space="preserve">Budget enforcement and routing live in prod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E">
            <w:pPr>
              <w:rPr/>
            </w:pPr>
            <w:r w:rsidDel="00000000" w:rsidR="00000000" w:rsidRPr="00000000">
              <w:rPr>
                <w:sz w:val="19"/>
                <w:szCs w:val="19"/>
                <w:rtl w:val="0"/>
              </w:rPr>
              <w:t xml:space="preserve">04</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3F">
            <w:pPr>
              <w:rPr/>
            </w:pPr>
            <w:r w:rsidDel="00000000" w:rsidR="00000000" w:rsidRPr="00000000">
              <w:rPr>
                <w:sz w:val="19"/>
                <w:szCs w:val="19"/>
                <w:rtl w:val="0"/>
              </w:rPr>
              <w:t xml:space="preserve">Week 10–12</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40">
            <w:pPr>
              <w:rPr/>
            </w:pPr>
            <w:r w:rsidDel="00000000" w:rsidR="00000000" w:rsidRPr="00000000">
              <w:rPr>
                <w:sz w:val="19"/>
                <w:szCs w:val="19"/>
                <w:rtl w:val="0"/>
              </w:rPr>
              <w:t xml:space="preserve">Production Hardening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41">
            <w:pPr>
              <w:rPr/>
            </w:pPr>
            <w:r w:rsidDel="00000000" w:rsidR="00000000" w:rsidRPr="00000000">
              <w:rPr>
                <w:sz w:val="19"/>
                <w:szCs w:val="19"/>
                <w:rtl w:val="0"/>
              </w:rPr>
              <w:t xml:space="preserve">All stakeholders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42">
            <w:pPr>
              <w:rPr/>
            </w:pPr>
            <w:r w:rsidDel="00000000" w:rsidR="00000000" w:rsidRPr="00000000">
              <w:rPr>
                <w:sz w:val="19"/>
                <w:szCs w:val="19"/>
                <w:rtl w:val="0"/>
              </w:rPr>
              <w:t xml:space="preserve">Full org migrated; SLAs published; dashboards live</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130.0" w:type="dxa"/>
              <w:left w:w="200.0" w:type="dxa"/>
              <w:bottom w:w="130.0" w:type="dxa"/>
              <w:right w:w="200.0" w:type="dxa"/>
            </w:tcMar>
          </w:tcPr>
          <w:p w:rsidR="00000000" w:rsidDel="00000000" w:rsidP="00000000" w:rsidRDefault="00000000" w:rsidRPr="00000000" w14:paraId="00000144">
            <w:pPr>
              <w:spacing w:after="40" w:lineRule="auto"/>
              <w:rPr/>
            </w:pPr>
            <w:r w:rsidDel="00000000" w:rsidR="00000000" w:rsidRPr="00000000">
              <w:rPr>
                <w:b w:val="1"/>
                <w:bCs w:val="1"/>
                <w:color w:val="0f2040"/>
                <w:sz w:val="17"/>
                <w:szCs w:val="17"/>
                <w:rtl w:val="0"/>
              </w:rPr>
              <w:t xml:space="preserve">PHASE 01  ·  Week 1–3</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color w:val="ffffff"/>
                <w:sz w:val="26"/>
                <w:szCs w:val="26"/>
                <w:rtl w:val="0"/>
              </w:rPr>
              <w:t xml:space="preserve">Foundation &amp; Discovery</w:t>
            </w:r>
            <w:r w:rsidDel="00000000" w:rsidR="00000000" w:rsidRPr="00000000">
              <w:rPr>
                <w:rtl w:val="0"/>
              </w:rPr>
            </w:r>
          </w:p>
        </w:tc>
      </w:tr>
    </w:tbl>
    <w:p w:rsidR="00000000" w:rsidDel="00000000" w:rsidP="00000000" w:rsidRDefault="00000000" w:rsidRPr="00000000" w14:paraId="00000146">
      <w:pPr>
        <w:spacing w:after="60" w:lineRule="auto"/>
        <w:rPr/>
      </w:pPr>
      <w:r w:rsidDel="00000000" w:rsidR="00000000" w:rsidRPr="00000000">
        <w:rPr>
          <w:rtl w:val="0"/>
        </w:rPr>
      </w:r>
    </w:p>
    <w:p w:rsidR="00000000" w:rsidDel="00000000" w:rsidP="00000000" w:rsidRDefault="00000000" w:rsidRPr="00000000" w14:paraId="00000147">
      <w:pPr>
        <w:spacing w:after="120" w:line="300" w:lineRule="auto"/>
        <w:rPr/>
      </w:pPr>
      <w:r w:rsidDel="00000000" w:rsidR="00000000" w:rsidRPr="00000000">
        <w:rPr>
          <w:sz w:val="21"/>
          <w:szCs w:val="21"/>
          <w:rtl w:val="0"/>
        </w:rPr>
        <w:t xml:space="preserve">Phase 1 is diagnostic. Its purpose is to produce a complete, accurate map of the current AI integration landscape before any architecture decisions are made. Skipping this phase is the most common reason gateway projects fail at scale.</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Conduct a full audit of all AI model integrations in production, staging, and development environments across all teams.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Document each integration: model provider, authentication method, data classification of inputs, monthly token cost, business function, and owner.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Map all API keys, service accounts, and credential stores used for model access. Identify shared credentials (a critical security finding in most organisations).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Produce a data flow diagram for each integration, showing what data enters each model and what is returned.</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Define the target gateway architecture, technology selection, and infrastructure topology.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Obtain architecture approval from the CISO, CTO, and Head of Engineering before proceeding to Phase 2.</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spacing w:after="40" w:before="40" w:lineRule="auto"/>
        <w:rPr/>
      </w:pPr>
      <w:r w:rsidDel="00000000" w:rsidR="00000000" w:rsidRPr="00000000">
        <w:rPr>
          <w:rtl w:val="0"/>
        </w:rPr>
      </w:r>
    </w:p>
    <w:p w:rsidR="00000000" w:rsidDel="00000000" w:rsidP="00000000" w:rsidRDefault="00000000" w:rsidRPr="00000000" w14:paraId="00000151">
      <w:pPr>
        <w:spacing w:after="40" w:before="40" w:lineRule="auto"/>
        <w:rPr/>
      </w:pP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130.0" w:type="dxa"/>
              <w:left w:w="200.0" w:type="dxa"/>
              <w:bottom w:w="130.0" w:type="dxa"/>
              <w:right w:w="200.0" w:type="dxa"/>
            </w:tcMar>
          </w:tcPr>
          <w:p w:rsidR="00000000" w:rsidDel="00000000" w:rsidP="00000000" w:rsidRDefault="00000000" w:rsidRPr="00000000" w14:paraId="00000156">
            <w:pPr>
              <w:spacing w:after="40" w:lineRule="auto"/>
              <w:rPr/>
            </w:pPr>
            <w:r w:rsidDel="00000000" w:rsidR="00000000" w:rsidRPr="00000000">
              <w:rPr>
                <w:b w:val="1"/>
                <w:bCs w:val="1"/>
                <w:color w:val="0a6e7a"/>
                <w:sz w:val="17"/>
                <w:szCs w:val="17"/>
                <w:rtl w:val="0"/>
              </w:rPr>
              <w:t xml:space="preserve">PHASE 02  ·  Week 4–6</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color w:val="ffffff"/>
                <w:sz w:val="26"/>
                <w:szCs w:val="26"/>
                <w:rtl w:val="0"/>
              </w:rPr>
              <w:t xml:space="preserve">Security &amp; Policy Layer</w:t>
            </w:r>
            <w:r w:rsidDel="00000000" w:rsidR="00000000" w:rsidRPr="00000000">
              <w:rPr>
                <w:rtl w:val="0"/>
              </w:rPr>
            </w:r>
          </w:p>
        </w:tc>
      </w:tr>
    </w:tbl>
    <w:p w:rsidR="00000000" w:rsidDel="00000000" w:rsidP="00000000" w:rsidRDefault="00000000" w:rsidRPr="00000000" w14:paraId="00000158">
      <w:pPr>
        <w:spacing w:after="60" w:lineRule="auto"/>
        <w:rPr/>
      </w:pPr>
      <w:r w:rsidDel="00000000" w:rsidR="00000000" w:rsidRPr="00000000">
        <w:rPr>
          <w:rtl w:val="0"/>
        </w:rPr>
      </w:r>
    </w:p>
    <w:p w:rsidR="00000000" w:rsidDel="00000000" w:rsidP="00000000" w:rsidRDefault="00000000" w:rsidRPr="00000000" w14:paraId="00000159">
      <w:pPr>
        <w:spacing w:after="120" w:line="300" w:lineRule="auto"/>
        <w:rPr/>
      </w:pPr>
      <w:r w:rsidDel="00000000" w:rsidR="00000000" w:rsidRPr="00000000">
        <w:rPr>
          <w:sz w:val="21"/>
          <w:szCs w:val="21"/>
          <w:rtl w:val="0"/>
        </w:rPr>
        <w:t xml:space="preserve">Phase 2 establishes the security and policy infrastructure. All controls are built and tested in a staging environment before any production traffic is migrated.</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Deploy gateway infrastructure in staging: ingress endpoint, authentication service, and policy engine.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Implement authentication for all discovered consumer types: service accounts, human tokens, automated pipeline keys.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Author and peer-review access policies for each discovered consumer. Define model tiers, data classification requirements, and audit rules.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Implement PII scanner and data classification engine. Test against a synthetic dataset representative of real traffic patterns.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Run penetration test on staging environment. Resolve all critical and high-severity findings before proceeding to Phase 3.</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130.0" w:type="dxa"/>
              <w:left w:w="200.0" w:type="dxa"/>
              <w:bottom w:w="130.0" w:type="dxa"/>
              <w:right w:w="200.0" w:type="dxa"/>
            </w:tcMar>
          </w:tcPr>
          <w:p w:rsidR="00000000" w:rsidDel="00000000" w:rsidP="00000000" w:rsidRDefault="00000000" w:rsidRPr="00000000" w14:paraId="00000160">
            <w:pPr>
              <w:spacing w:after="40" w:lineRule="auto"/>
              <w:rPr/>
            </w:pPr>
            <w:r w:rsidDel="00000000" w:rsidR="00000000" w:rsidRPr="00000000">
              <w:rPr>
                <w:b w:val="1"/>
                <w:bCs w:val="1"/>
                <w:color w:val="b03a2e"/>
                <w:sz w:val="17"/>
                <w:szCs w:val="17"/>
                <w:rtl w:val="0"/>
              </w:rPr>
              <w:t xml:space="preserve">PHASE 03  ·  Week 7–9</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color w:val="ffffff"/>
                <w:sz w:val="26"/>
                <w:szCs w:val="26"/>
                <w:rtl w:val="0"/>
              </w:rPr>
              <w:t xml:space="preserve">Cost Control &amp; Routing</w:t>
            </w:r>
            <w:r w:rsidDel="00000000" w:rsidR="00000000" w:rsidRPr="00000000">
              <w:rPr>
                <w:rtl w:val="0"/>
              </w:rPr>
            </w:r>
          </w:p>
        </w:tc>
      </w:tr>
    </w:tbl>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spacing w:after="120" w:line="300" w:lineRule="auto"/>
        <w:rPr/>
      </w:pPr>
      <w:r w:rsidDel="00000000" w:rsidR="00000000" w:rsidRPr="00000000">
        <w:rPr>
          <w:sz w:val="21"/>
          <w:szCs w:val="21"/>
          <w:rtl w:val="0"/>
        </w:rPr>
        <w:t xml:space="preserve">Phase 3 activates financial governance. Budget enforcement, model routing, and cost attribution are deployed to production in this phase.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Configure budget envelopes for all consumers based on historical spend data from the Phase 1 audit.</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Deploy routing engine with cost-optimised model selection rules. Test routing logic against representative request samples.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Activate semantic caching layer. Seed cache with high-frequency query patterns identified during the audit.</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Integrate with finance systems for chargeback reporting. Validate cost attribution accuracy against known API bills.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Deploy cost dashboards and automated alert workflows. Brief finance partners and team owners on the reporting interface.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Begin migrating production traffic to the gateway, starting with the highest-volume, lowest-risk integrations.</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30.0" w:type="dxa"/>
              <w:left w:w="200.0" w:type="dxa"/>
              <w:bottom w:w="130.0" w:type="dxa"/>
              <w:right w:w="200.0" w:type="dxa"/>
            </w:tcMar>
          </w:tcPr>
          <w:p w:rsidR="00000000" w:rsidDel="00000000" w:rsidP="00000000" w:rsidRDefault="00000000" w:rsidRPr="00000000" w14:paraId="0000016B">
            <w:pPr>
              <w:spacing w:after="40" w:lineRule="auto"/>
              <w:rPr/>
            </w:pPr>
            <w:r w:rsidDel="00000000" w:rsidR="00000000" w:rsidRPr="00000000">
              <w:rPr>
                <w:b w:val="1"/>
                <w:bCs w:val="1"/>
                <w:color w:val="065f46"/>
                <w:sz w:val="17"/>
                <w:szCs w:val="17"/>
                <w:rtl w:val="0"/>
              </w:rPr>
              <w:t xml:space="preserve">PHASE 04  ·  Week 10–12</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ffffff"/>
                <w:sz w:val="26"/>
                <w:szCs w:val="26"/>
                <w:rtl w:val="0"/>
              </w:rPr>
              <w:t xml:space="preserve">Production Hardening</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spacing w:after="120" w:line="300" w:lineRule="auto"/>
        <w:rPr/>
      </w:pPr>
      <w:r w:rsidDel="00000000" w:rsidR="00000000" w:rsidRPr="00000000">
        <w:rPr>
          <w:sz w:val="21"/>
          <w:szCs w:val="21"/>
          <w:rtl w:val="0"/>
        </w:rPr>
        <w:t xml:space="preserve">Phase 4 completes the migration and establishes the ongoing governance operating model.</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Migrate all remaining production integrations to the gateway. Revoke all direct provider credentials from applications.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sz w:val="20"/>
          <w:szCs w:val="20"/>
          <w:rtl w:val="0"/>
        </w:rPr>
        <w:t xml:space="preserve">Conduct a full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production penetration test. Publish remediation timeline for any findings.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Publish SLAs for gateway availability, latency overhead, and support response time.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Establish the AI Gateway governance committee with defined membership, meeting cadence, and decision rights.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Conduct team-level onboarding: all teams that consume AI models receive gateway documentation and access training.</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Publish the first monthly cost and security report to the CISO, CTO, and CFO.</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sz w:val="20"/>
          <w:szCs w:val="20"/>
          <w:u w:val="none"/>
        </w:rPr>
      </w:pPr>
      <w:r w:rsidDel="00000000" w:rsidR="00000000" w:rsidRPr="00000000">
        <w:rPr>
          <w:rtl w:val="0"/>
        </w:rPr>
      </w:r>
    </w:p>
    <w:p w:rsidR="00000000" w:rsidDel="00000000" w:rsidP="00000000" w:rsidRDefault="00000000" w:rsidRPr="00000000" w14:paraId="00000176">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2">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77">
      <w:pPr>
        <w:pageBreakBefore w:val="1"/>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06 — Governance Model &amp; Accountability</w:t>
      </w:r>
    </w:p>
    <w:p w:rsidR="00000000" w:rsidDel="00000000" w:rsidP="00000000" w:rsidRDefault="00000000" w:rsidRPr="00000000" w14:paraId="00000179">
      <w:pPr>
        <w:pBdr>
          <w:bottom w:color="0f2040" w:space="1" w:sz="6" w:val="single"/>
        </w:pBdr>
        <w:spacing w:after="60" w:before="60" w:lineRule="auto"/>
        <w:rPr/>
      </w:pPr>
      <w:r w:rsidDel="00000000" w:rsidR="00000000" w:rsidRPr="00000000">
        <w:rPr>
          <w:rtl w:val="0"/>
        </w:rPr>
      </w:r>
    </w:p>
    <w:p w:rsidR="00000000" w:rsidDel="00000000" w:rsidP="00000000" w:rsidRDefault="00000000" w:rsidRPr="00000000" w14:paraId="0000017A">
      <w:pPr>
        <w:spacing w:after="60" w:lineRule="auto"/>
        <w:rPr/>
      </w:pPr>
      <w:r w:rsidDel="00000000" w:rsidR="00000000" w:rsidRPr="00000000">
        <w:rPr>
          <w:rtl w:val="0"/>
        </w:rPr>
      </w:r>
    </w:p>
    <w:p w:rsidR="00000000" w:rsidDel="00000000" w:rsidP="00000000" w:rsidRDefault="00000000" w:rsidRPr="00000000" w14:paraId="0000017B">
      <w:pPr>
        <w:spacing w:after="120" w:line="300" w:lineRule="auto"/>
        <w:rPr/>
      </w:pPr>
      <w:r w:rsidDel="00000000" w:rsidR="00000000" w:rsidRPr="00000000">
        <w:rPr>
          <w:sz w:val="21"/>
          <w:szCs w:val="21"/>
          <w:rtl w:val="0"/>
        </w:rPr>
        <w:t xml:space="preserve">The AI Gateway is a piece of shared infrastructure. Like any shared infrastructure, it requires a defined governance model: clear ownership, defined decision rights, structured escalation paths, and a regular review cadence. In the absence of this, the gateway degrades from a control plane into a bottleneck.</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The AI Gateway Committee</w:t>
      </w:r>
    </w:p>
    <w:p w:rsidR="00000000" w:rsidDel="00000000" w:rsidP="00000000" w:rsidRDefault="00000000" w:rsidRPr="00000000" w14:paraId="0000017E">
      <w:pPr>
        <w:spacing w:after="120" w:line="300" w:lineRule="auto"/>
        <w:rPr/>
      </w:pPr>
      <w:r w:rsidDel="00000000" w:rsidR="00000000" w:rsidRPr="00000000">
        <w:rPr>
          <w:sz w:val="21"/>
          <w:szCs w:val="21"/>
          <w:rtl w:val="0"/>
        </w:rPr>
        <w:t xml:space="preserve">A standing governance committee convenes monthly to review gateway performance, approve policy changes, manage budget allocations, and adjudicate access escalations.</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360"/>
        <w:gridCol w:w="3600"/>
        <w:tblGridChange w:id="0">
          <w:tblGrid>
            <w:gridCol w:w="2400"/>
            <w:gridCol w:w="336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80">
            <w:pPr>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81">
            <w:pPr>
              <w:rPr/>
            </w:pPr>
            <w:r w:rsidDel="00000000" w:rsidR="00000000" w:rsidRPr="00000000">
              <w:rPr>
                <w:b w:val="1"/>
                <w:bCs w:val="1"/>
                <w:color w:val="ffffff"/>
                <w:sz w:val="19"/>
                <w:szCs w:val="19"/>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0" w:val="clear"/>
            <w:tcMar>
              <w:top w:w="90.0" w:type="dxa"/>
              <w:left w:w="130.0" w:type="dxa"/>
              <w:bottom w:w="90.0" w:type="dxa"/>
              <w:right w:w="130.0" w:type="dxa"/>
            </w:tcMar>
          </w:tcPr>
          <w:p w:rsidR="00000000" w:rsidDel="00000000" w:rsidP="00000000" w:rsidRDefault="00000000" w:rsidRPr="00000000" w14:paraId="00000182">
            <w:pPr>
              <w:rPr/>
            </w:pPr>
            <w:r w:rsidDel="00000000" w:rsidR="00000000" w:rsidRPr="00000000">
              <w:rPr>
                <w:b w:val="1"/>
                <w:bCs w:val="1"/>
                <w:color w:val="ffffff"/>
                <w:sz w:val="19"/>
                <w:szCs w:val="19"/>
                <w:rtl w:val="0"/>
              </w:rPr>
              <w:t xml:space="preserve">Decision Rights</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sz w:val="19"/>
                <w:szCs w:val="19"/>
                <w:rtl w:val="0"/>
              </w:rPr>
              <w:t xml:space="preserve">CISO</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4">
            <w:pPr>
              <w:rPr/>
            </w:pPr>
            <w:r w:rsidDel="00000000" w:rsidR="00000000" w:rsidRPr="00000000">
              <w:rPr>
                <w:sz w:val="19"/>
                <w:szCs w:val="19"/>
                <w:rtl w:val="0"/>
              </w:rPr>
              <w:t xml:space="preserve">Security policy ownership and compliance oversight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5">
            <w:pPr>
              <w:rPr/>
            </w:pPr>
            <w:r w:rsidDel="00000000" w:rsidR="00000000" w:rsidRPr="00000000">
              <w:rPr>
                <w:sz w:val="19"/>
                <w:szCs w:val="19"/>
                <w:rtl w:val="0"/>
              </w:rPr>
              <w:t xml:space="preserve">Veto on any security policy change; final authority on Tier 4 access</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6">
            <w:pPr>
              <w:rPr/>
            </w:pPr>
            <w:r w:rsidDel="00000000" w:rsidR="00000000" w:rsidRPr="00000000">
              <w:rPr>
                <w:sz w:val="19"/>
                <w:szCs w:val="19"/>
                <w:rtl w:val="0"/>
              </w:rPr>
              <w:t xml:space="preserve">CTO / VP Engineering</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7">
            <w:pPr>
              <w:rPr/>
            </w:pPr>
            <w:r w:rsidDel="00000000" w:rsidR="00000000" w:rsidRPr="00000000">
              <w:rPr>
                <w:sz w:val="19"/>
                <w:szCs w:val="19"/>
                <w:rtl w:val="0"/>
              </w:rPr>
              <w:t xml:space="preserve">Architecture standards and platform roadmap</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8">
            <w:pPr>
              <w:rPr/>
            </w:pPr>
            <w:r w:rsidDel="00000000" w:rsidR="00000000" w:rsidRPr="00000000">
              <w:rPr>
                <w:sz w:val="19"/>
                <w:szCs w:val="19"/>
                <w:rtl w:val="0"/>
              </w:rPr>
              <w:t xml:space="preserve">Approve major architectural changes and vendor additions</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9">
            <w:pPr>
              <w:rPr/>
            </w:pPr>
            <w:r w:rsidDel="00000000" w:rsidR="00000000" w:rsidRPr="00000000">
              <w:rPr>
                <w:sz w:val="19"/>
                <w:szCs w:val="19"/>
                <w:rtl w:val="0"/>
              </w:rPr>
              <w:t xml:space="preserve">Head of FinOps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A">
            <w:pPr>
              <w:rPr/>
            </w:pPr>
            <w:r w:rsidDel="00000000" w:rsidR="00000000" w:rsidRPr="00000000">
              <w:rPr>
                <w:sz w:val="19"/>
                <w:szCs w:val="19"/>
                <w:rtl w:val="0"/>
              </w:rPr>
              <w:t xml:space="preserve">Budget governance and cost attribution</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B">
            <w:pPr>
              <w:rPr/>
            </w:pPr>
            <w:r w:rsidDel="00000000" w:rsidR="00000000" w:rsidRPr="00000000">
              <w:rPr>
                <w:sz w:val="19"/>
                <w:szCs w:val="19"/>
                <w:rtl w:val="0"/>
              </w:rPr>
              <w:t xml:space="preserve">Approve budget reallocations and chargeback configuration</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C">
            <w:pPr>
              <w:rPr/>
            </w:pPr>
            <w:r w:rsidDel="00000000" w:rsidR="00000000" w:rsidRPr="00000000">
              <w:rPr>
                <w:sz w:val="19"/>
                <w:szCs w:val="19"/>
                <w:rtl w:val="0"/>
              </w:rPr>
              <w:t xml:space="preserve">GRC Lead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D">
            <w:pPr>
              <w:rPr/>
            </w:pPr>
            <w:r w:rsidDel="00000000" w:rsidR="00000000" w:rsidRPr="00000000">
              <w:rPr>
                <w:sz w:val="19"/>
                <w:szCs w:val="19"/>
                <w:rtl w:val="0"/>
              </w:rPr>
              <w:t xml:space="preserve">Regulatory compliance and audit management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8E">
            <w:pPr>
              <w:rPr/>
            </w:pPr>
            <w:r w:rsidDel="00000000" w:rsidR="00000000" w:rsidRPr="00000000">
              <w:rPr>
                <w:sz w:val="19"/>
                <w:szCs w:val="19"/>
                <w:rtl w:val="0"/>
              </w:rPr>
              <w:t xml:space="preserve">Approve policy changes affecting regulated data</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8F">
            <w:pPr>
              <w:rPr/>
            </w:pPr>
            <w:r w:rsidDel="00000000" w:rsidR="00000000" w:rsidRPr="00000000">
              <w:rPr>
                <w:sz w:val="19"/>
                <w:szCs w:val="19"/>
                <w:rtl w:val="0"/>
              </w:rPr>
              <w:t xml:space="preserve">Platform Engineering Lead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90">
            <w:pPr>
              <w:rPr/>
            </w:pPr>
            <w:r w:rsidDel="00000000" w:rsidR="00000000" w:rsidRPr="00000000">
              <w:rPr>
                <w:sz w:val="19"/>
                <w:szCs w:val="19"/>
                <w:rtl w:val="0"/>
              </w:rPr>
              <w:t xml:space="preserve">Day-to-day gateway operations and incident response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91">
            <w:pPr>
              <w:rPr/>
            </w:pPr>
            <w:r w:rsidDel="00000000" w:rsidR="00000000" w:rsidRPr="00000000">
              <w:rPr>
                <w:sz w:val="19"/>
                <w:szCs w:val="19"/>
                <w:rtl w:val="0"/>
              </w:rPr>
              <w:t xml:space="preserve">Approve operational changes within approved policy framework</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92">
            <w:pPr>
              <w:rPr/>
            </w:pPr>
            <w:r w:rsidDel="00000000" w:rsidR="00000000" w:rsidRPr="00000000">
              <w:rPr>
                <w:sz w:val="19"/>
                <w:szCs w:val="19"/>
                <w:rtl w:val="0"/>
              </w:rPr>
              <w:t xml:space="preserve">Business Unit Representatives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93">
            <w:pPr>
              <w:rPr/>
            </w:pPr>
            <w:r w:rsidDel="00000000" w:rsidR="00000000" w:rsidRPr="00000000">
              <w:rPr>
                <w:sz w:val="19"/>
                <w:szCs w:val="19"/>
                <w:rtl w:val="0"/>
              </w:rPr>
              <w:t xml:space="preserve">Consumer advocacy and escalation coordination</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94">
            <w:pPr>
              <w:rPr/>
            </w:pPr>
            <w:r w:rsidDel="00000000" w:rsidR="00000000" w:rsidRPr="00000000">
              <w:rPr>
                <w:sz w:val="19"/>
                <w:szCs w:val="19"/>
                <w:rtl w:val="0"/>
              </w:rPr>
              <w:t xml:space="preserve">Raise escalations; no direct policy authority</w:t>
            </w:r>
            <w:r w:rsidDel="00000000" w:rsidR="00000000" w:rsidRPr="00000000">
              <w:rPr>
                <w:rtl w:val="0"/>
              </w:rPr>
            </w:r>
          </w:p>
        </w:tc>
      </w:tr>
    </w:tbl>
    <w:p w:rsidR="00000000" w:rsidDel="00000000" w:rsidP="00000000" w:rsidRDefault="00000000" w:rsidRPr="00000000" w14:paraId="00000195">
      <w:pPr>
        <w:spacing w:after="10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Policy Change Management</w:t>
      </w:r>
    </w:p>
    <w:p w:rsidR="00000000" w:rsidDel="00000000" w:rsidP="00000000" w:rsidRDefault="00000000" w:rsidRPr="00000000" w14:paraId="00000197">
      <w:pPr>
        <w:spacing w:after="120" w:line="300" w:lineRule="auto"/>
        <w:rPr/>
      </w:pPr>
      <w:r w:rsidDel="00000000" w:rsidR="00000000" w:rsidRPr="00000000">
        <w:rPr>
          <w:sz w:val="21"/>
          <w:szCs w:val="21"/>
          <w:rtl w:val="0"/>
        </w:rPr>
        <w:t xml:space="preserve">All changes to gateway access policies follow a structured change management process:</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Request submitted via policy change ticket with business justification, security impact assessment, and cost projection.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Peer review by at least one member of the governance committee outside the requesting team.</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Testing in staging environment with synthetic traffic representative of the proposed change.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Approval by CISO (for security policy changes) or Head of FinOps (for budget changes) or both.</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Deployment during a scheduled maintenance window with rollback plan documented.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Post-deployment review after 48 hours to confirm no unintended effects.</w:t>
      </w:r>
      <w:r w:rsidDel="00000000" w:rsidR="00000000" w:rsidRPr="00000000">
        <w:rPr>
          <w:rtl w:val="0"/>
        </w:rPr>
      </w:r>
    </w:p>
    <w:p w:rsidR="00000000" w:rsidDel="00000000" w:rsidP="00000000" w:rsidRDefault="00000000" w:rsidRPr="00000000" w14:paraId="0000019F">
      <w:pPr>
        <w:spacing w:after="40" w:before="40" w:lineRule="auto"/>
        <w:rPr/>
      </w:pPr>
      <w:r w:rsidDel="00000000" w:rsidR="00000000" w:rsidRPr="00000000">
        <w:rPr>
          <w:rtl w:val="0"/>
        </w:rPr>
      </w:r>
    </w:p>
    <w:p w:rsidR="00000000" w:rsidDel="00000000" w:rsidP="00000000" w:rsidRDefault="00000000" w:rsidRPr="00000000" w14:paraId="000001A0">
      <w:pPr>
        <w:spacing w:after="40" w:before="40" w:lineRule="auto"/>
        <w:rPr/>
      </w:pPr>
      <w:r w:rsidDel="00000000" w:rsidR="00000000" w:rsidRPr="00000000">
        <w:rPr>
          <w:rtl w:val="0"/>
        </w:rPr>
      </w:r>
    </w:p>
    <w:p w:rsidR="00000000" w:rsidDel="00000000" w:rsidP="00000000" w:rsidRDefault="00000000" w:rsidRPr="00000000" w14:paraId="000001A1">
      <w:pPr>
        <w:spacing w:after="40" w:before="40" w:lineRule="auto"/>
        <w:rPr/>
      </w:pP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Escalation Paths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Access denied due to policy — escalate to team’s BU Representative, then to governance committee if unresolved within 2 business days.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Budget exhausted — escalate to Head of FinOps for emergency allocation within 4 hours for business-critical workloads.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Security incident (data classification violation, anomalous access pattern) — escalate directly to CISO. Gateway auto-blocks the offending consumer pending investigation.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Gateway outage or degradation — escalate to Platform Engineering Lead. SLA breach triggers automatic escalation to CTO.</w:t>
      </w:r>
      <w:r w:rsidDel="00000000" w:rsidR="00000000" w:rsidRPr="00000000">
        <w:rPr>
          <w:rtl w:val="0"/>
        </w:rPr>
      </w:r>
    </w:p>
    <w:p w:rsidR="00000000" w:rsidDel="00000000" w:rsidP="00000000" w:rsidRDefault="00000000" w:rsidRPr="00000000" w14:paraId="000001A9">
      <w:pPr>
        <w:spacing w:after="300" w:lineRule="auto"/>
        <w:rPr/>
      </w:pPr>
      <w:r w:rsidDel="00000000" w:rsidR="00000000" w:rsidRPr="00000000">
        <w:rPr>
          <w:rtl w:val="0"/>
        </w:rPr>
      </w:r>
    </w:p>
    <w:p w:rsidR="00000000" w:rsidDel="00000000" w:rsidP="00000000" w:rsidRDefault="00000000" w:rsidRPr="00000000" w14:paraId="000001A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A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A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A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A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A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B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2">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3">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4">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3">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CA">
      <w:pPr>
        <w:pageBreakBefore w:val="1"/>
        <w:rPr/>
      </w:pP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tl w:val="0"/>
        </w:rPr>
        <w:t xml:space="preserve">07 — Measuring Success: Metrics &amp; KPIs</w:t>
      </w:r>
    </w:p>
    <w:p w:rsidR="00000000" w:rsidDel="00000000" w:rsidP="00000000" w:rsidRDefault="00000000" w:rsidRPr="00000000" w14:paraId="000001CC">
      <w:pPr>
        <w:spacing w:after="120" w:line="300" w:lineRule="auto"/>
        <w:rPr/>
      </w:pPr>
      <w:r w:rsidDel="00000000" w:rsidR="00000000" w:rsidRPr="00000000">
        <w:rPr>
          <w:sz w:val="21"/>
          <w:szCs w:val="21"/>
          <w:rtl w:val="0"/>
        </w:rPr>
        <w:t xml:space="preserve">The AI Gateway is a security and cost control system. Its success is measured by its ability to enforce policies without impeding legitimate use, to reduce cost without reducing capability, and to provide visibility without creating overhead. These metrics are published in the monthly governance report.</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Security Metrics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880"/>
        <w:gridCol w:w="3280"/>
        <w:tblGridChange w:id="0">
          <w:tblGrid>
            <w:gridCol w:w="3200"/>
            <w:gridCol w:w="288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90.0" w:type="dxa"/>
              <w:left w:w="130.0" w:type="dxa"/>
              <w:bottom w:w="90.0" w:type="dxa"/>
              <w:right w:w="130.0" w:type="dxa"/>
            </w:tcMar>
          </w:tcPr>
          <w:p w:rsidR="00000000" w:rsidDel="00000000" w:rsidP="00000000" w:rsidRDefault="00000000" w:rsidRPr="00000000" w14:paraId="000001CE">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03a2e" w:val="clear"/>
            <w:tcMar>
              <w:top w:w="90.0" w:type="dxa"/>
              <w:left w:w="130.0" w:type="dxa"/>
              <w:bottom w:w="90.0" w:type="dxa"/>
              <w:right w:w="130.0" w:type="dxa"/>
            </w:tcMar>
          </w:tcPr>
          <w:p w:rsidR="00000000" w:rsidDel="00000000" w:rsidP="00000000" w:rsidRDefault="00000000" w:rsidRPr="00000000" w14:paraId="000001CF">
            <w:pPr>
              <w:rPr/>
            </w:pPr>
            <w:r w:rsidDel="00000000" w:rsidR="00000000" w:rsidRPr="00000000">
              <w:rPr>
                <w:b w:val="1"/>
                <w:bCs w:val="1"/>
                <w:color w:val="ffffff"/>
                <w:sz w:val="19"/>
                <w:szCs w:val="19"/>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03a2e"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b w:val="1"/>
                <w:bCs w:val="1"/>
                <w:color w:val="ffffff"/>
                <w:sz w:val="19"/>
                <w:szCs w:val="19"/>
                <w:rtl w:val="0"/>
              </w:rPr>
              <w:t xml:space="preserve">Alert Threshold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1">
            <w:pPr>
              <w:rPr/>
            </w:pPr>
            <w:r w:rsidDel="00000000" w:rsidR="00000000" w:rsidRPr="00000000">
              <w:rPr>
                <w:sz w:val="19"/>
                <w:szCs w:val="19"/>
                <w:rtl w:val="0"/>
              </w:rPr>
              <w:t xml:space="preserve">Policy violation rate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2">
            <w:pPr>
              <w:rPr/>
            </w:pPr>
            <w:r w:rsidDel="00000000" w:rsidR="00000000" w:rsidRPr="00000000">
              <w:rPr>
                <w:sz w:val="19"/>
                <w:szCs w:val="19"/>
                <w:rtl w:val="0"/>
              </w:rPr>
              <w:t xml:space="preserve">&lt;0.1% of total requests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3">
            <w:pPr>
              <w:rPr/>
            </w:pPr>
            <w:r w:rsidDel="00000000" w:rsidR="00000000" w:rsidRPr="00000000">
              <w:rPr>
                <w:sz w:val="19"/>
                <w:szCs w:val="19"/>
                <w:rtl w:val="0"/>
              </w:rPr>
              <w:t xml:space="preserve">&gt;0.5% in any 24-hour window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rPr/>
            </w:pPr>
            <w:r w:rsidDel="00000000" w:rsidR="00000000" w:rsidRPr="00000000">
              <w:rPr>
                <w:sz w:val="19"/>
                <w:szCs w:val="19"/>
                <w:rtl w:val="0"/>
              </w:rPr>
              <w:t xml:space="preserve">PII detection false positive rate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5">
            <w:pPr>
              <w:rPr/>
            </w:pPr>
            <w:r w:rsidDel="00000000" w:rsidR="00000000" w:rsidRPr="00000000">
              <w:rPr>
                <w:sz w:val="19"/>
                <w:szCs w:val="19"/>
                <w:rtl w:val="0"/>
              </w:rPr>
              <w:t xml:space="preserve">&lt;2% of flagged requests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6">
            <w:pPr>
              <w:rPr/>
            </w:pPr>
            <w:r w:rsidDel="00000000" w:rsidR="00000000" w:rsidRPr="00000000">
              <w:rPr>
                <w:sz w:val="19"/>
                <w:szCs w:val="19"/>
                <w:rtl w:val="0"/>
              </w:rPr>
              <w:t xml:space="preserve">&gt;5% triggers model retraining</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7">
            <w:pPr>
              <w:rPr/>
            </w:pPr>
            <w:r w:rsidDel="00000000" w:rsidR="00000000" w:rsidRPr="00000000">
              <w:rPr>
                <w:sz w:val="19"/>
                <w:szCs w:val="19"/>
                <w:rtl w:val="0"/>
              </w:rPr>
              <w:t xml:space="preserve">Authentication failure rate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8">
            <w:pPr>
              <w:rPr/>
            </w:pPr>
            <w:r w:rsidDel="00000000" w:rsidR="00000000" w:rsidRPr="00000000">
              <w:rPr>
                <w:sz w:val="19"/>
                <w:szCs w:val="19"/>
                <w:rtl w:val="0"/>
              </w:rPr>
              <w:t xml:space="preserve">&lt;1% of authentication attempts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9">
            <w:pPr>
              <w:rPr/>
            </w:pPr>
            <w:r w:rsidDel="00000000" w:rsidR="00000000" w:rsidRPr="00000000">
              <w:rPr>
                <w:sz w:val="19"/>
                <w:szCs w:val="19"/>
                <w:rtl w:val="0"/>
              </w:rPr>
              <w:t xml:space="preserve">&gt;3% triggers security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A">
            <w:pPr>
              <w:rPr/>
            </w:pPr>
            <w:r w:rsidDel="00000000" w:rsidR="00000000" w:rsidRPr="00000000">
              <w:rPr>
                <w:sz w:val="19"/>
                <w:szCs w:val="19"/>
                <w:rtl w:val="0"/>
              </w:rPr>
              <w:t xml:space="preserve">Audit log completeness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B">
            <w:pPr>
              <w:rPr/>
            </w:pPr>
            <w:r w:rsidDel="00000000" w:rsidR="00000000" w:rsidRPr="00000000">
              <w:rPr>
                <w:sz w:val="19"/>
                <w:szCs w:val="19"/>
                <w:rtl w:val="0"/>
              </w:rPr>
              <w:t xml:space="preserve">100% of requests logged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DC">
            <w:pPr>
              <w:rPr/>
            </w:pPr>
            <w:r w:rsidDel="00000000" w:rsidR="00000000" w:rsidRPr="00000000">
              <w:rPr>
                <w:sz w:val="19"/>
                <w:szCs w:val="19"/>
                <w:rtl w:val="0"/>
              </w:rPr>
              <w:t xml:space="preserve">Any gap triggers incident</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D">
            <w:pPr>
              <w:rPr/>
            </w:pPr>
            <w:r w:rsidDel="00000000" w:rsidR="00000000" w:rsidRPr="00000000">
              <w:rPr>
                <w:sz w:val="19"/>
                <w:szCs w:val="19"/>
                <w:rtl w:val="0"/>
              </w:rPr>
              <w:t xml:space="preserve">Mean time to detect anomaly</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E">
            <w:pPr>
              <w:rPr/>
            </w:pPr>
            <w:r w:rsidDel="00000000" w:rsidR="00000000" w:rsidRPr="00000000">
              <w:rPr>
                <w:sz w:val="19"/>
                <w:szCs w:val="19"/>
                <w:rtl w:val="0"/>
              </w:rPr>
              <w:t xml:space="preserve">&lt;15 minutes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DF">
            <w:pPr>
              <w:rPr/>
            </w:pPr>
            <w:r w:rsidDel="00000000" w:rsidR="00000000" w:rsidRPr="00000000">
              <w:rPr>
                <w:sz w:val="19"/>
                <w:szCs w:val="19"/>
                <w:rtl w:val="0"/>
              </w:rPr>
              <w:t xml:space="preserve">&gt;30 minutes triggers escalation</w:t>
            </w:r>
            <w:r w:rsidDel="00000000" w:rsidR="00000000" w:rsidRPr="00000000">
              <w:rPr>
                <w:rtl w:val="0"/>
              </w:rPr>
            </w:r>
          </w:p>
        </w:tc>
      </w:tr>
    </w:tbl>
    <w:p w:rsidR="00000000" w:rsidDel="00000000" w:rsidP="00000000" w:rsidRDefault="00000000" w:rsidRPr="00000000" w14:paraId="000001E0">
      <w:pPr>
        <w:spacing w:after="100" w:lineRule="auto"/>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Cost Metrics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880"/>
        <w:gridCol w:w="3280"/>
        <w:tblGridChange w:id="0">
          <w:tblGrid>
            <w:gridCol w:w="3200"/>
            <w:gridCol w:w="288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a6010" w:val="clear"/>
            <w:tcMar>
              <w:top w:w="90.0" w:type="dxa"/>
              <w:left w:w="130.0" w:type="dxa"/>
              <w:bottom w:w="90.0" w:type="dxa"/>
              <w:right w:w="130.0" w:type="dxa"/>
            </w:tcMar>
          </w:tcPr>
          <w:p w:rsidR="00000000" w:rsidDel="00000000" w:rsidP="00000000" w:rsidRDefault="00000000" w:rsidRPr="00000000" w14:paraId="000001E2">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a6010" w:val="clear"/>
            <w:tcMar>
              <w:top w:w="90.0" w:type="dxa"/>
              <w:left w:w="130.0" w:type="dxa"/>
              <w:bottom w:w="90.0" w:type="dxa"/>
              <w:right w:w="130.0" w:type="dxa"/>
            </w:tcMar>
          </w:tcPr>
          <w:p w:rsidR="00000000" w:rsidDel="00000000" w:rsidP="00000000" w:rsidRDefault="00000000" w:rsidRPr="00000000" w14:paraId="000001E3">
            <w:pPr>
              <w:rPr/>
            </w:pPr>
            <w:r w:rsidDel="00000000" w:rsidR="00000000" w:rsidRPr="00000000">
              <w:rPr>
                <w:b w:val="1"/>
                <w:bCs w:val="1"/>
                <w:color w:val="ffffff"/>
                <w:sz w:val="19"/>
                <w:szCs w:val="19"/>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a6010" w:val="clear"/>
            <w:tcMar>
              <w:top w:w="90.0" w:type="dxa"/>
              <w:left w:w="130.0" w:type="dxa"/>
              <w:bottom w:w="90.0" w:type="dxa"/>
              <w:right w:w="130.0" w:type="dxa"/>
            </w:tcMar>
          </w:tcPr>
          <w:p w:rsidR="00000000" w:rsidDel="00000000" w:rsidP="00000000" w:rsidRDefault="00000000" w:rsidRPr="00000000" w14:paraId="000001E4">
            <w:pPr>
              <w:rPr/>
            </w:pPr>
            <w:r w:rsidDel="00000000" w:rsidR="00000000" w:rsidRPr="00000000">
              <w:rPr>
                <w:b w:val="1"/>
                <w:bCs w:val="1"/>
                <w:color w:val="ffffff"/>
                <w:sz w:val="19"/>
                <w:szCs w:val="19"/>
                <w:rtl w:val="0"/>
              </w:rPr>
              <w:t xml:space="preserve">Alert Threshold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5">
            <w:pPr>
              <w:rPr/>
            </w:pPr>
            <w:r w:rsidDel="00000000" w:rsidR="00000000" w:rsidRPr="00000000">
              <w:rPr>
                <w:sz w:val="19"/>
                <w:szCs w:val="19"/>
                <w:rtl w:val="0"/>
              </w:rPr>
              <w:t xml:space="preserve">Cost per 1M tokens (blended)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6">
            <w:pPr>
              <w:rPr/>
            </w:pPr>
            <w:r w:rsidDel="00000000" w:rsidR="00000000" w:rsidRPr="00000000">
              <w:rPr>
                <w:sz w:val="19"/>
                <w:szCs w:val="19"/>
                <w:rtl w:val="0"/>
              </w:rPr>
              <w:t xml:space="preserve">Reduce 20% vs. pre-gateway baseline by Month 3</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sz w:val="19"/>
                <w:szCs w:val="19"/>
                <w:rtl w:val="0"/>
              </w:rPr>
              <w:t xml:space="preserve">&gt;10% MoM increase triggers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E8">
            <w:pPr>
              <w:rPr/>
            </w:pPr>
            <w:r w:rsidDel="00000000" w:rsidR="00000000" w:rsidRPr="00000000">
              <w:rPr>
                <w:sz w:val="19"/>
                <w:szCs w:val="19"/>
                <w:rtl w:val="0"/>
              </w:rPr>
              <w:t xml:space="preserve">Cache hit rate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E9">
            <w:pPr>
              <w:rPr/>
            </w:pPr>
            <w:r w:rsidDel="00000000" w:rsidR="00000000" w:rsidRPr="00000000">
              <w:rPr>
                <w:sz w:val="19"/>
                <w:szCs w:val="19"/>
                <w:rtl w:val="0"/>
              </w:rPr>
              <w:t xml:space="preserve">&gt;20% by Week 12</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EA">
            <w:pPr>
              <w:rPr/>
            </w:pPr>
            <w:r w:rsidDel="00000000" w:rsidR="00000000" w:rsidRPr="00000000">
              <w:rPr>
                <w:sz w:val="19"/>
                <w:szCs w:val="19"/>
                <w:rtl w:val="0"/>
              </w:rPr>
              <w:t xml:space="preserve">&lt;10% after 8 weeks triggers cache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B">
            <w:pPr>
              <w:rPr/>
            </w:pPr>
            <w:r w:rsidDel="00000000" w:rsidR="00000000" w:rsidRPr="00000000">
              <w:rPr>
                <w:sz w:val="19"/>
                <w:szCs w:val="19"/>
                <w:rtl w:val="0"/>
              </w:rPr>
              <w:t xml:space="preserve">Budget overrun rate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C">
            <w:pPr>
              <w:rPr/>
            </w:pPr>
            <w:r w:rsidDel="00000000" w:rsidR="00000000" w:rsidRPr="00000000">
              <w:rPr>
                <w:sz w:val="19"/>
                <w:szCs w:val="19"/>
                <w:rtl w:val="0"/>
              </w:rPr>
              <w:t xml:space="preserve">0 teams exceed hard limit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sz w:val="19"/>
                <w:szCs w:val="19"/>
                <w:rtl w:val="0"/>
              </w:rPr>
              <w:t xml:space="preserve">Any overrun triggers immediate report</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EE">
            <w:pPr>
              <w:rPr/>
            </w:pPr>
            <w:r w:rsidDel="00000000" w:rsidR="00000000" w:rsidRPr="00000000">
              <w:rPr>
                <w:sz w:val="19"/>
                <w:szCs w:val="19"/>
                <w:rtl w:val="0"/>
              </w:rPr>
              <w:t xml:space="preserve">Cost attribution coverage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EF">
            <w:pPr>
              <w:rPr/>
            </w:pPr>
            <w:r w:rsidDel="00000000" w:rsidR="00000000" w:rsidRPr="00000000">
              <w:rPr>
                <w:sz w:val="19"/>
                <w:szCs w:val="19"/>
                <w:rtl w:val="0"/>
              </w:rPr>
              <w:t xml:space="preserve">100% of spend attributed</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F0">
            <w:pPr>
              <w:rPr/>
            </w:pPr>
            <w:r w:rsidDel="00000000" w:rsidR="00000000" w:rsidRPr="00000000">
              <w:rPr>
                <w:sz w:val="19"/>
                <w:szCs w:val="19"/>
                <w:rtl w:val="0"/>
              </w:rPr>
              <w:t xml:space="preserve">&lt;98% triggers FinOps investigation</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1">
            <w:pPr>
              <w:rPr/>
            </w:pPr>
            <w:r w:rsidDel="00000000" w:rsidR="00000000" w:rsidRPr="00000000">
              <w:rPr>
                <w:sz w:val="19"/>
                <w:szCs w:val="19"/>
                <w:rtl w:val="0"/>
              </w:rPr>
              <w:t xml:space="preserve">Model routing efficiency</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2">
            <w:pPr>
              <w:rPr/>
            </w:pPr>
            <w:r w:rsidDel="00000000" w:rsidR="00000000" w:rsidRPr="00000000">
              <w:rPr>
                <w:sz w:val="19"/>
                <w:szCs w:val="19"/>
                <w:rtl w:val="0"/>
              </w:rPr>
              <w:t xml:space="preserve">&gt;40% of requests on non-frontier models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3">
            <w:pPr>
              <w:rPr/>
            </w:pPr>
            <w:r w:rsidDel="00000000" w:rsidR="00000000" w:rsidRPr="00000000">
              <w:rPr>
                <w:sz w:val="19"/>
                <w:szCs w:val="19"/>
                <w:rtl w:val="0"/>
              </w:rPr>
              <w:t xml:space="preserve">&lt;25% triggers routing policy review</w:t>
            </w:r>
            <w:r w:rsidDel="00000000" w:rsidR="00000000" w:rsidRPr="00000000">
              <w:rPr>
                <w:rtl w:val="0"/>
              </w:rPr>
            </w:r>
          </w:p>
        </w:tc>
      </w:tr>
    </w:tbl>
    <w:p w:rsidR="00000000" w:rsidDel="00000000" w:rsidP="00000000" w:rsidRDefault="00000000" w:rsidRPr="00000000" w14:paraId="000001F4">
      <w:pPr>
        <w:spacing w:after="100" w:lineRule="auto"/>
        <w:rPr/>
      </w:pP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Operational Metrics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880"/>
        <w:gridCol w:w="3280"/>
        <w:tblGridChange w:id="0">
          <w:tblGrid>
            <w:gridCol w:w="3200"/>
            <w:gridCol w:w="288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1F6">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1F7">
            <w:pPr>
              <w:rPr/>
            </w:pPr>
            <w:r w:rsidDel="00000000" w:rsidR="00000000" w:rsidRPr="00000000">
              <w:rPr>
                <w:b w:val="1"/>
                <w:bCs w:val="1"/>
                <w:color w:val="ffffff"/>
                <w:sz w:val="19"/>
                <w:szCs w:val="19"/>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6e7a" w:val="clear"/>
            <w:tcMar>
              <w:top w:w="90.0" w:type="dxa"/>
              <w:left w:w="130.0" w:type="dxa"/>
              <w:bottom w:w="90.0" w:type="dxa"/>
              <w:right w:w="130.0" w:type="dxa"/>
            </w:tcMar>
          </w:tcPr>
          <w:p w:rsidR="00000000" w:rsidDel="00000000" w:rsidP="00000000" w:rsidRDefault="00000000" w:rsidRPr="00000000" w14:paraId="000001F8">
            <w:pPr>
              <w:rPr/>
            </w:pPr>
            <w:r w:rsidDel="00000000" w:rsidR="00000000" w:rsidRPr="00000000">
              <w:rPr>
                <w:b w:val="1"/>
                <w:bCs w:val="1"/>
                <w:color w:val="ffffff"/>
                <w:sz w:val="19"/>
                <w:szCs w:val="19"/>
                <w:rtl w:val="0"/>
              </w:rPr>
              <w:t xml:space="preserve">Alert Threshold</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9">
            <w:pPr>
              <w:rPr/>
            </w:pPr>
            <w:r w:rsidDel="00000000" w:rsidR="00000000" w:rsidRPr="00000000">
              <w:rPr>
                <w:sz w:val="19"/>
                <w:szCs w:val="19"/>
                <w:rtl w:val="0"/>
              </w:rPr>
              <w:t xml:space="preserve">Gateway-added latency (P99)</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sz w:val="19"/>
                <w:szCs w:val="19"/>
                <w:rtl w:val="0"/>
              </w:rPr>
              <w:t xml:space="preserve">&lt;50ms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B">
            <w:pPr>
              <w:rPr/>
            </w:pPr>
            <w:r w:rsidDel="00000000" w:rsidR="00000000" w:rsidRPr="00000000">
              <w:rPr>
                <w:sz w:val="19"/>
                <w:szCs w:val="19"/>
                <w:rtl w:val="0"/>
              </w:rPr>
              <w:t xml:space="preserve">&gt;100ms triggers performance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FC">
            <w:pPr>
              <w:rPr/>
            </w:pPr>
            <w:r w:rsidDel="00000000" w:rsidR="00000000" w:rsidRPr="00000000">
              <w:rPr>
                <w:sz w:val="19"/>
                <w:szCs w:val="19"/>
                <w:rtl w:val="0"/>
              </w:rPr>
              <w:t xml:space="preserve">Gateway availability</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FD">
            <w:pPr>
              <w:rPr/>
            </w:pPr>
            <w:r w:rsidDel="00000000" w:rsidR="00000000" w:rsidRPr="00000000">
              <w:rPr>
                <w:sz w:val="19"/>
                <w:szCs w:val="19"/>
                <w:rtl w:val="0"/>
              </w:rPr>
              <w:t xml:space="preserve">&gt;99.9% monthly</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1FE">
            <w:pPr>
              <w:rPr/>
            </w:pPr>
            <w:r w:rsidDel="00000000" w:rsidR="00000000" w:rsidRPr="00000000">
              <w:rPr>
                <w:sz w:val="19"/>
                <w:szCs w:val="19"/>
                <w:rtl w:val="0"/>
              </w:rPr>
              <w:t xml:space="preserve">&lt;99.5% in any week triggers SLA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1FF">
            <w:pPr>
              <w:rPr/>
            </w:pPr>
            <w:r w:rsidDel="00000000" w:rsidR="00000000" w:rsidRPr="00000000">
              <w:rPr>
                <w:sz w:val="19"/>
                <w:szCs w:val="19"/>
                <w:rtl w:val="0"/>
              </w:rPr>
              <w:t xml:space="preserve">Policy change lead time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200">
            <w:pPr>
              <w:rPr/>
            </w:pPr>
            <w:r w:rsidDel="00000000" w:rsidR="00000000" w:rsidRPr="00000000">
              <w:rPr>
                <w:sz w:val="19"/>
                <w:szCs w:val="19"/>
                <w:rtl w:val="0"/>
              </w:rPr>
              <w:t xml:space="preserve">&lt;3 business days from request to deployment</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0f4f8" w:val="clear"/>
            <w:tcMar>
              <w:top w:w="90.0" w:type="dxa"/>
              <w:left w:w="130.0" w:type="dxa"/>
              <w:bottom w:w="90.0" w:type="dxa"/>
              <w:right w:w="130.0" w:type="dxa"/>
            </w:tcMar>
          </w:tcPr>
          <w:p w:rsidR="00000000" w:rsidDel="00000000" w:rsidP="00000000" w:rsidRDefault="00000000" w:rsidRPr="00000000" w14:paraId="00000201">
            <w:pPr>
              <w:rPr/>
            </w:pPr>
            <w:r w:rsidDel="00000000" w:rsidR="00000000" w:rsidRPr="00000000">
              <w:rPr>
                <w:sz w:val="19"/>
                <w:szCs w:val="19"/>
                <w:rtl w:val="0"/>
              </w:rPr>
              <w:t xml:space="preserve">&gt;5 days triggers governance review</w:t>
            </w:r>
            <w:r w:rsidDel="00000000" w:rsidR="00000000" w:rsidRPr="00000000">
              <w:rPr>
                <w:rtl w:val="0"/>
              </w:rPr>
            </w:r>
          </w:p>
        </w:tc>
      </w:tr>
      <w:tr>
        <w:trPr>
          <w:cantSplit w:val="0"/>
          <w:tblHeader w:val="0"/>
        </w:trPr>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202">
            <w:pPr>
              <w:rPr/>
            </w:pPr>
            <w:r w:rsidDel="00000000" w:rsidR="00000000" w:rsidRPr="00000000">
              <w:rPr>
                <w:sz w:val="19"/>
                <w:szCs w:val="19"/>
                <w:rtl w:val="0"/>
              </w:rPr>
              <w:t xml:space="preserve">Consumer onboarding time</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203">
            <w:pPr>
              <w:rPr/>
            </w:pPr>
            <w:r w:rsidDel="00000000" w:rsidR="00000000" w:rsidRPr="00000000">
              <w:rPr>
                <w:sz w:val="19"/>
                <w:szCs w:val="19"/>
                <w:rtl w:val="0"/>
              </w:rPr>
              <w:t xml:space="preserve">&lt;1 business day for standard access</w:t>
            </w:r>
            <w:r w:rsidDel="00000000" w:rsidR="00000000" w:rsidRPr="00000000">
              <w:rPr>
                <w:rtl w:val="0"/>
              </w:rPr>
            </w:r>
          </w:p>
        </w:tc>
        <w:tc>
          <w:tcPr>
            <w:tcBorders>
              <w:top w:color="d1dbe8" w:space="0" w:sz="4" w:val="single"/>
              <w:left w:color="d1dbe8" w:space="0" w:sz="4" w:val="single"/>
              <w:bottom w:color="d1dbe8" w:space="0" w:sz="4" w:val="single"/>
              <w:right w:color="d1dbe8" w:space="0" w:sz="4" w:val="single"/>
            </w:tcBorders>
            <w:shd w:fill="ffffff" w:val="clear"/>
            <w:tcMar>
              <w:top w:w="90.0" w:type="dxa"/>
              <w:left w:w="130.0" w:type="dxa"/>
              <w:bottom w:w="90.0" w:type="dxa"/>
              <w:right w:w="130.0" w:type="dxa"/>
            </w:tcMar>
          </w:tcPr>
          <w:p w:rsidR="00000000" w:rsidDel="00000000" w:rsidP="00000000" w:rsidRDefault="00000000" w:rsidRPr="00000000" w14:paraId="00000204">
            <w:pPr>
              <w:rPr/>
            </w:pPr>
            <w:r w:rsidDel="00000000" w:rsidR="00000000" w:rsidRPr="00000000">
              <w:rPr>
                <w:sz w:val="19"/>
                <w:szCs w:val="19"/>
                <w:rtl w:val="0"/>
              </w:rPr>
              <w:t xml:space="preserve">&gt;2 days triggers process review</w:t>
            </w:r>
            <w:r w:rsidDel="00000000" w:rsidR="00000000" w:rsidRPr="00000000">
              <w:rPr>
                <w:rtl w:val="0"/>
              </w:rPr>
            </w:r>
          </w:p>
        </w:tc>
      </w:tr>
    </w:tbl>
    <w:p w:rsidR="00000000" w:rsidDel="00000000" w:rsidP="00000000" w:rsidRDefault="00000000" w:rsidRPr="00000000" w14:paraId="0000020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06">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4">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207">
      <w:pPr>
        <w:pageBreakBefore w:val="1"/>
        <w:rPr/>
      </w:pP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08 — Common Failure Modes &amp; How to Avoid Them</w:t>
      </w:r>
    </w:p>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120" w:line="300" w:lineRule="auto"/>
        <w:rPr/>
      </w:pPr>
      <w:r w:rsidDel="00000000" w:rsidR="00000000" w:rsidRPr="00000000">
        <w:rPr>
          <w:sz w:val="21"/>
          <w:szCs w:val="21"/>
          <w:rtl w:val="0"/>
        </w:rPr>
        <w:t xml:space="preserve">Most AI Gateway implementations fail not because of technical complexity, but because of organisational and design errors that are entirely preventable. These are the eight most common failure modes, drawn from enterprise deployments across regulated industries.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
        <w:gridCol w:w="9057"/>
        <w:tblGridChange w:id="0">
          <w:tblGrid>
            <w:gridCol w:w="303"/>
            <w:gridCol w:w="9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100.0" w:type="dxa"/>
              <w:left w:w="60.0" w:type="dxa"/>
              <w:bottom w:w="100.0" w:type="dxa"/>
              <w:right w:w="60.0" w:type="dxa"/>
            </w:tcMar>
          </w:tcPr>
          <w:p w:rsidR="00000000" w:rsidDel="00000000" w:rsidP="00000000" w:rsidRDefault="00000000" w:rsidRPr="00000000" w14:paraId="0000020B">
            <w:pPr>
              <w:rPr/>
            </w:pPr>
            <w:r w:rsidDel="00000000" w:rsidR="00000000" w:rsidRPr="00000000">
              <w:rPr>
                <w:b w:val="1"/>
                <w:bCs w:val="1"/>
                <w:color w:val="ffffff"/>
                <w:sz w:val="18"/>
                <w:szCs w:val="18"/>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20C">
            <w:pPr>
              <w:spacing w:after="60" w:lineRule="auto"/>
              <w:rPr/>
            </w:pPr>
            <w:r w:rsidDel="00000000" w:rsidR="00000000" w:rsidRPr="00000000">
              <w:rPr>
                <w:b w:val="1"/>
                <w:bCs w:val="1"/>
                <w:color w:val="b03a2e"/>
                <w:sz w:val="21"/>
                <w:szCs w:val="21"/>
                <w:rtl w:val="0"/>
              </w:rPr>
              <w:t xml:space="preserve">Building the Gateway After the Integrations</w:t>
            </w:r>
            <w:r w:rsidDel="00000000" w:rsidR="00000000" w:rsidRPr="00000000">
              <w:rPr>
                <w:rtl w:val="0"/>
              </w:rPr>
            </w:r>
          </w:p>
          <w:p w:rsidR="00000000" w:rsidDel="00000000" w:rsidP="00000000" w:rsidRDefault="00000000" w:rsidRPr="00000000" w14:paraId="0000020D">
            <w:pPr>
              <w:spacing w:after="50" w:lineRule="auto"/>
              <w:rPr/>
            </w:pPr>
            <w:r w:rsidDel="00000000" w:rsidR="00000000" w:rsidRPr="00000000">
              <w:rPr>
                <w:b w:val="1"/>
                <w:bCs w:val="1"/>
                <w:sz w:val="19"/>
                <w:szCs w:val="19"/>
                <w:rtl w:val="0"/>
              </w:rPr>
              <w:t xml:space="preserve">Problem: </w:t>
            </w:r>
            <w:r w:rsidDel="00000000" w:rsidR="00000000" w:rsidRPr="00000000">
              <w:rPr>
                <w:sz w:val="19"/>
                <w:szCs w:val="19"/>
                <w:rtl w:val="0"/>
              </w:rPr>
              <w:t xml:space="preserve">Teams integrate directly with AI providers first, then attempt to retrofit a gateway over existing integrations. Each existing integration resists change, creating technical debt that compounds with each new provider.</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color w:val="b03a2e"/>
                <w:sz w:val="19"/>
                <w:szCs w:val="19"/>
                <w:rtl w:val="0"/>
              </w:rPr>
              <w:t xml:space="preserve">Fix: </w:t>
            </w:r>
            <w:r w:rsidDel="00000000" w:rsidR="00000000" w:rsidRPr="00000000">
              <w:rPr>
                <w:sz w:val="19"/>
                <w:szCs w:val="19"/>
                <w:rtl w:val="0"/>
              </w:rPr>
              <w:t xml:space="preserve">Establish gateway policy on Day 1. No production AI integration is permitted without gateway routing. Treat the first three weeks of Phase 1 as a firm embargo on new direct integrations.</w:t>
            </w:r>
            <w:r w:rsidDel="00000000" w:rsidR="00000000" w:rsidRPr="00000000">
              <w:rPr>
                <w:rtl w:val="0"/>
              </w:rPr>
            </w:r>
          </w:p>
        </w:tc>
      </w:tr>
    </w:tbl>
    <w:p w:rsidR="00000000" w:rsidDel="00000000" w:rsidP="00000000" w:rsidRDefault="00000000" w:rsidRPr="00000000" w14:paraId="0000020F">
      <w:pPr>
        <w:spacing w:after="7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
        <w:gridCol w:w="9057"/>
        <w:tblGridChange w:id="0">
          <w:tblGrid>
            <w:gridCol w:w="303"/>
            <w:gridCol w:w="9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a6010" w:val="clear"/>
            <w:tcMar>
              <w:top w:w="100.0" w:type="dxa"/>
              <w:left w:w="60.0" w:type="dxa"/>
              <w:bottom w:w="100.0" w:type="dxa"/>
              <w:right w:w="60.0" w:type="dxa"/>
            </w:tcMar>
          </w:tcPr>
          <w:p w:rsidR="00000000" w:rsidDel="00000000" w:rsidP="00000000" w:rsidRDefault="00000000" w:rsidRPr="00000000" w14:paraId="00000210">
            <w:pPr>
              <w:rPr/>
            </w:pPr>
            <w:r w:rsidDel="00000000" w:rsidR="00000000" w:rsidRPr="00000000">
              <w:rPr>
                <w:b w:val="1"/>
                <w:bCs w:val="1"/>
                <w:color w:val="ffffff"/>
                <w:sz w:val="18"/>
                <w:szCs w:val="1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211">
            <w:pPr>
              <w:spacing w:after="60" w:lineRule="auto"/>
              <w:rPr/>
            </w:pPr>
            <w:r w:rsidDel="00000000" w:rsidR="00000000" w:rsidRPr="00000000">
              <w:rPr>
                <w:b w:val="1"/>
                <w:bCs w:val="1"/>
                <w:color w:val="8a6010"/>
                <w:sz w:val="21"/>
                <w:szCs w:val="21"/>
                <w:rtl w:val="0"/>
              </w:rPr>
              <w:t xml:space="preserve">Treating the Gateway as a Technical Project, Not a Governance Project</w:t>
            </w:r>
            <w:r w:rsidDel="00000000" w:rsidR="00000000" w:rsidRPr="00000000">
              <w:rPr>
                <w:rtl w:val="0"/>
              </w:rPr>
            </w:r>
          </w:p>
          <w:p w:rsidR="00000000" w:rsidDel="00000000" w:rsidP="00000000" w:rsidRDefault="00000000" w:rsidRPr="00000000" w14:paraId="00000212">
            <w:pPr>
              <w:spacing w:after="50" w:lineRule="auto"/>
              <w:rPr/>
            </w:pPr>
            <w:r w:rsidDel="00000000" w:rsidR="00000000" w:rsidRPr="00000000">
              <w:rPr>
                <w:b w:val="1"/>
                <w:bCs w:val="1"/>
                <w:sz w:val="19"/>
                <w:szCs w:val="19"/>
                <w:rtl w:val="0"/>
              </w:rPr>
              <w:t xml:space="preserve">Problem: </w:t>
            </w:r>
            <w:r w:rsidDel="00000000" w:rsidR="00000000" w:rsidRPr="00000000">
              <w:rPr>
                <w:sz w:val="19"/>
                <w:szCs w:val="19"/>
                <w:rtl w:val="0"/>
              </w:rPr>
              <w:t xml:space="preserve">Platform Engineering builds the gateway without security, GRC, and Finance involvement. The result is technically sound but governance-deficient: no policy framework, no audit structure, no cost accountability.</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8a6010"/>
                <w:sz w:val="19"/>
                <w:szCs w:val="19"/>
                <w:rtl w:val="0"/>
              </w:rPr>
              <w:t xml:space="preserve">Fix: </w:t>
            </w:r>
            <w:r w:rsidDel="00000000" w:rsidR="00000000" w:rsidRPr="00000000">
              <w:rPr>
                <w:sz w:val="19"/>
                <w:szCs w:val="19"/>
                <w:rtl w:val="0"/>
              </w:rPr>
              <w:t xml:space="preserve">The governance committee must be established before the gateway goes to staging. Security, GRC, and Finance must co-own the policy framework. Technical implementation serves the governance requirements, not the other way around.</w:t>
            </w:r>
            <w:r w:rsidDel="00000000" w:rsidR="00000000" w:rsidRPr="00000000">
              <w:rPr>
                <w:rtl w:val="0"/>
              </w:rPr>
            </w:r>
          </w:p>
        </w:tc>
      </w:tr>
    </w:tbl>
    <w:p w:rsidR="00000000" w:rsidDel="00000000" w:rsidP="00000000" w:rsidRDefault="00000000" w:rsidRPr="00000000" w14:paraId="00000214">
      <w:pPr>
        <w:spacing w:after="7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
        <w:gridCol w:w="9057"/>
        <w:tblGridChange w:id="0">
          <w:tblGrid>
            <w:gridCol w:w="303"/>
            <w:gridCol w:w="9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100.0" w:type="dxa"/>
              <w:left w:w="60.0" w:type="dxa"/>
              <w:bottom w:w="100.0" w:type="dxa"/>
              <w:right w:w="60.0" w:type="dxa"/>
            </w:tcMar>
          </w:tcPr>
          <w:p w:rsidR="00000000" w:rsidDel="00000000" w:rsidP="00000000" w:rsidRDefault="00000000" w:rsidRPr="00000000" w14:paraId="00000215">
            <w:pPr>
              <w:rPr/>
            </w:pPr>
            <w:r w:rsidDel="00000000" w:rsidR="00000000" w:rsidRPr="00000000">
              <w:rPr>
                <w:b w:val="1"/>
                <w:bCs w:val="1"/>
                <w:color w:val="ffffff"/>
                <w:sz w:val="18"/>
                <w:szCs w:val="18"/>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216">
            <w:pPr>
              <w:spacing w:after="60" w:lineRule="auto"/>
              <w:rPr/>
            </w:pPr>
            <w:r w:rsidDel="00000000" w:rsidR="00000000" w:rsidRPr="00000000">
              <w:rPr>
                <w:b w:val="1"/>
                <w:bCs w:val="1"/>
                <w:color w:val="0f2040"/>
                <w:sz w:val="21"/>
                <w:szCs w:val="21"/>
                <w:rtl w:val="0"/>
              </w:rPr>
              <w:t xml:space="preserve">Designing for Current Scale, Not Future Scale</w:t>
            </w:r>
            <w:r w:rsidDel="00000000" w:rsidR="00000000" w:rsidRPr="00000000">
              <w:rPr>
                <w:rtl w:val="0"/>
              </w:rPr>
            </w:r>
          </w:p>
          <w:p w:rsidR="00000000" w:rsidDel="00000000" w:rsidP="00000000" w:rsidRDefault="00000000" w:rsidRPr="00000000" w14:paraId="00000217">
            <w:pPr>
              <w:spacing w:after="50" w:lineRule="auto"/>
              <w:rPr/>
            </w:pPr>
            <w:r w:rsidDel="00000000" w:rsidR="00000000" w:rsidRPr="00000000">
              <w:rPr>
                <w:b w:val="1"/>
                <w:bCs w:val="1"/>
                <w:sz w:val="19"/>
                <w:szCs w:val="19"/>
                <w:rtl w:val="0"/>
              </w:rPr>
              <w:t xml:space="preserve">Problem: </w:t>
            </w:r>
            <w:r w:rsidDel="00000000" w:rsidR="00000000" w:rsidRPr="00000000">
              <w:rPr>
                <w:sz w:val="19"/>
                <w:szCs w:val="19"/>
                <w:rtl w:val="0"/>
              </w:rPr>
              <w:t xml:space="preserve">The gateway is designed for 10 teams and 5 models. Within 12 months, there are 40 teams and 20 models, and the gateway is a bottleneck with no headroom.</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color w:val="0f2040"/>
                <w:sz w:val="19"/>
                <w:szCs w:val="19"/>
                <w:rtl w:val="0"/>
              </w:rPr>
              <w:t xml:space="preserve">Fix: </w:t>
            </w:r>
            <w:r w:rsidDel="00000000" w:rsidR="00000000" w:rsidRPr="00000000">
              <w:rPr>
                <w:sz w:val="19"/>
                <w:szCs w:val="19"/>
                <w:rtl w:val="0"/>
              </w:rPr>
              <w:t xml:space="preserve">Design for 10× current scale from the outset. The gateway is shared infrastructure — its architecture decisions are expensive to reverse. Stateless routing, horizontal scaling, and provider-agnostic abstraction are non-negotiable.</w:t>
            </w:r>
            <w:r w:rsidDel="00000000" w:rsidR="00000000" w:rsidRPr="00000000">
              <w:rPr>
                <w:rtl w:val="0"/>
              </w:rPr>
            </w:r>
          </w:p>
        </w:tc>
      </w:tr>
    </w:tbl>
    <w:p w:rsidR="00000000" w:rsidDel="00000000" w:rsidP="00000000" w:rsidRDefault="00000000" w:rsidRPr="00000000" w14:paraId="00000219">
      <w:pPr>
        <w:spacing w:after="7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
        <w:gridCol w:w="9057"/>
        <w:tblGridChange w:id="0">
          <w:tblGrid>
            <w:gridCol w:w="303"/>
            <w:gridCol w:w="9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100.0" w:type="dxa"/>
              <w:left w:w="60.0" w:type="dxa"/>
              <w:bottom w:w="100.0" w:type="dxa"/>
              <w:right w:w="60.0" w:type="dxa"/>
            </w:tcMar>
          </w:tcPr>
          <w:p w:rsidR="00000000" w:rsidDel="00000000" w:rsidP="00000000" w:rsidRDefault="00000000" w:rsidRPr="00000000" w14:paraId="0000021A">
            <w:pPr>
              <w:rPr/>
            </w:pPr>
            <w:r w:rsidDel="00000000" w:rsidR="00000000" w:rsidRPr="00000000">
              <w:rPr>
                <w:b w:val="1"/>
                <w:bCs w:val="1"/>
                <w:color w:val="ffffff"/>
                <w:sz w:val="18"/>
                <w:szCs w:val="18"/>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21B">
            <w:pPr>
              <w:spacing w:after="60" w:lineRule="auto"/>
              <w:rPr/>
            </w:pPr>
            <w:r w:rsidDel="00000000" w:rsidR="00000000" w:rsidRPr="00000000">
              <w:rPr>
                <w:b w:val="1"/>
                <w:bCs w:val="1"/>
                <w:color w:val="0a6e7a"/>
                <w:sz w:val="21"/>
                <w:szCs w:val="21"/>
                <w:rtl w:val="0"/>
              </w:rPr>
              <w:t xml:space="preserve">Policy Complexity That Outpaces Policy Management</w:t>
            </w:r>
            <w:r w:rsidDel="00000000" w:rsidR="00000000" w:rsidRPr="00000000">
              <w:rPr>
                <w:rtl w:val="0"/>
              </w:rPr>
            </w:r>
          </w:p>
          <w:p w:rsidR="00000000" w:rsidDel="00000000" w:rsidP="00000000" w:rsidRDefault="00000000" w:rsidRPr="00000000" w14:paraId="0000021C">
            <w:pPr>
              <w:spacing w:after="50" w:lineRule="auto"/>
              <w:rPr/>
            </w:pPr>
            <w:r w:rsidDel="00000000" w:rsidR="00000000" w:rsidRPr="00000000">
              <w:rPr>
                <w:b w:val="1"/>
                <w:bCs w:val="1"/>
                <w:sz w:val="19"/>
                <w:szCs w:val="19"/>
                <w:rtl w:val="0"/>
              </w:rPr>
              <w:t xml:space="preserve">Problem: </w:t>
            </w:r>
            <w:r w:rsidDel="00000000" w:rsidR="00000000" w:rsidRPr="00000000">
              <w:rPr>
                <w:sz w:val="19"/>
                <w:szCs w:val="19"/>
                <w:rtl w:val="0"/>
              </w:rPr>
              <w:t xml:space="preserve">The policy engine accumulates hundreds of fine-grained rules with no clear structure, no ownership, and no review cycle. Rules conflict silently. Policy debt accumulates until the gateway becomes unmanageable.</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a6e7a"/>
                <w:sz w:val="19"/>
                <w:szCs w:val="19"/>
                <w:rtl w:val="0"/>
              </w:rPr>
              <w:t xml:space="preserve">Fix: </w:t>
            </w:r>
            <w:r w:rsidDel="00000000" w:rsidR="00000000" w:rsidRPr="00000000">
              <w:rPr>
                <w:sz w:val="19"/>
                <w:szCs w:val="19"/>
                <w:rtl w:val="0"/>
              </w:rPr>
              <w:t xml:space="preserve">Adopt a structured policy hierarchy: organisation-level defaults, BU-level overrides, team-level exceptions. Limit the number of exceptions. Conduct a quarterly policy audit and retire any rule that has not been triggered in 90 days.</w:t>
            </w:r>
            <w:r w:rsidDel="00000000" w:rsidR="00000000" w:rsidRPr="00000000">
              <w:rPr>
                <w:rtl w:val="0"/>
              </w:rPr>
            </w:r>
          </w:p>
        </w:tc>
      </w:tr>
    </w:tbl>
    <w:p w:rsidR="00000000" w:rsidDel="00000000" w:rsidP="00000000" w:rsidRDefault="00000000" w:rsidRPr="00000000" w14:paraId="0000021E">
      <w:pPr>
        <w:spacing w:after="7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
        <w:gridCol w:w="9057"/>
        <w:tblGridChange w:id="0">
          <w:tblGrid>
            <w:gridCol w:w="303"/>
            <w:gridCol w:w="9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00.0" w:type="dxa"/>
              <w:left w:w="60.0" w:type="dxa"/>
              <w:bottom w:w="100.0" w:type="dxa"/>
              <w:right w:w="60.0" w:type="dxa"/>
            </w:tcMar>
          </w:tcPr>
          <w:p w:rsidR="00000000" w:rsidDel="00000000" w:rsidP="00000000" w:rsidRDefault="00000000" w:rsidRPr="00000000" w14:paraId="0000021F">
            <w:pPr>
              <w:rPr/>
            </w:pPr>
            <w:r w:rsidDel="00000000" w:rsidR="00000000" w:rsidRPr="00000000">
              <w:rPr>
                <w:b w:val="1"/>
                <w:bCs w:val="1"/>
                <w:color w:val="ffffff"/>
                <w:sz w:val="18"/>
                <w:szCs w:val="18"/>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30.0" w:type="dxa"/>
              <w:left w:w="180.0" w:type="dxa"/>
              <w:bottom w:w="130.0" w:type="dxa"/>
              <w:right w:w="180.0" w:type="dxa"/>
            </w:tcMar>
          </w:tcPr>
          <w:p w:rsidR="00000000" w:rsidDel="00000000" w:rsidP="00000000" w:rsidRDefault="00000000" w:rsidRPr="00000000" w14:paraId="00000220">
            <w:pPr>
              <w:spacing w:after="60" w:lineRule="auto"/>
              <w:rPr/>
            </w:pPr>
            <w:r w:rsidDel="00000000" w:rsidR="00000000" w:rsidRPr="00000000">
              <w:rPr>
                <w:b w:val="1"/>
                <w:bCs w:val="1"/>
                <w:color w:val="065f46"/>
                <w:sz w:val="21"/>
                <w:szCs w:val="21"/>
                <w:rtl w:val="0"/>
              </w:rPr>
              <w:t xml:space="preserve">Latency Budget That Kills Developer Experience</w:t>
            </w:r>
            <w:r w:rsidDel="00000000" w:rsidR="00000000" w:rsidRPr="00000000">
              <w:rPr>
                <w:rtl w:val="0"/>
              </w:rPr>
            </w:r>
          </w:p>
          <w:p w:rsidR="00000000" w:rsidDel="00000000" w:rsidP="00000000" w:rsidRDefault="00000000" w:rsidRPr="00000000" w14:paraId="00000221">
            <w:pPr>
              <w:spacing w:after="50" w:lineRule="auto"/>
              <w:rPr/>
            </w:pPr>
            <w:r w:rsidDel="00000000" w:rsidR="00000000" w:rsidRPr="00000000">
              <w:rPr>
                <w:b w:val="1"/>
                <w:bCs w:val="1"/>
                <w:sz w:val="19"/>
                <w:szCs w:val="19"/>
                <w:rtl w:val="0"/>
              </w:rPr>
              <w:t xml:space="preserve">Problem: </w:t>
            </w:r>
            <w:r w:rsidDel="00000000" w:rsidR="00000000" w:rsidRPr="00000000">
              <w:rPr>
                <w:sz w:val="19"/>
                <w:szCs w:val="19"/>
                <w:rtl w:val="0"/>
              </w:rPr>
              <w:t xml:space="preserve">A gateway with P99 latency of 500ms is perceived as a bottleneck by development teams. Shadow integrations emerge, bypassing the gateway entirely.</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color w:val="065f46"/>
                <w:sz w:val="19"/>
                <w:szCs w:val="19"/>
                <w:rtl w:val="0"/>
              </w:rPr>
              <w:t xml:space="preserve">Fix: </w:t>
            </w:r>
            <w:r w:rsidDel="00000000" w:rsidR="00000000" w:rsidRPr="00000000">
              <w:rPr>
                <w:sz w:val="19"/>
                <w:szCs w:val="19"/>
                <w:rtl w:val="0"/>
              </w:rPr>
              <w:t xml:space="preserve">Set a strict P99 latency budget of 50ms for gateway overhead. Design all gateway processing as asynchronous where possible. Publish latency dashboards so teams can verify the overhead is within budget.</w:t>
            </w:r>
            <w:r w:rsidDel="00000000" w:rsidR="00000000" w:rsidRPr="00000000">
              <w:rPr>
                <w:rtl w:val="0"/>
              </w:rPr>
            </w:r>
          </w:p>
        </w:tc>
      </w:tr>
    </w:tbl>
    <w:p w:rsidR="00000000" w:rsidDel="00000000" w:rsidP="00000000" w:rsidRDefault="00000000" w:rsidRPr="00000000" w14:paraId="00000223">
      <w:pPr>
        <w:spacing w:after="70" w:lineRule="auto"/>
        <w:rPr/>
      </w:pPr>
      <w:r w:rsidDel="00000000" w:rsidR="00000000" w:rsidRPr="00000000">
        <w:rPr>
          <w:rtl w:val="0"/>
        </w:rPr>
      </w:r>
    </w:p>
    <w:p w:rsidR="00000000" w:rsidDel="00000000" w:rsidP="00000000" w:rsidRDefault="00000000" w:rsidRPr="00000000" w14:paraId="00000224">
      <w:pPr>
        <w:spacing w:after="300" w:lineRule="auto"/>
        <w:rPr/>
      </w:pPr>
      <w:r w:rsidDel="00000000" w:rsidR="00000000" w:rsidRPr="00000000">
        <w:rPr>
          <w:rtl w:val="0"/>
        </w:rPr>
      </w:r>
    </w:p>
    <w:p w:rsidR="00000000" w:rsidDel="00000000" w:rsidP="00000000" w:rsidRDefault="00000000" w:rsidRPr="00000000" w14:paraId="00000225">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5">
        <w:r w:rsidDel="00000000" w:rsidR="00000000" w:rsidRPr="00000000">
          <w:rPr>
            <w:color w:val="0a6e7a"/>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226">
      <w:pPr>
        <w:pageBreakBefore w:val="1"/>
        <w:rPr/>
      </w:pP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tl w:val="0"/>
        </w:rPr>
        <w:t xml:space="preserve">09 — Decision Checklist &amp; Readiness Assessment</w:t>
      </w:r>
    </w:p>
    <w:p w:rsidR="00000000" w:rsidDel="00000000" w:rsidP="00000000" w:rsidRDefault="00000000" w:rsidRPr="00000000" w14:paraId="00000228">
      <w:pPr>
        <w:pBdr>
          <w:bottom w:color="0f2040" w:space="1" w:sz="6" w:val="single"/>
        </w:pBdr>
        <w:spacing w:after="60" w:before="60" w:lineRule="auto"/>
        <w:rPr/>
      </w:pPr>
      <w:r w:rsidDel="00000000" w:rsidR="00000000" w:rsidRPr="00000000">
        <w:rPr>
          <w:rtl w:val="0"/>
        </w:rPr>
      </w:r>
    </w:p>
    <w:p w:rsidR="00000000" w:rsidDel="00000000" w:rsidP="00000000" w:rsidRDefault="00000000" w:rsidRPr="00000000" w14:paraId="00000229">
      <w:pPr>
        <w:spacing w:after="60" w:lineRule="auto"/>
        <w:rPr/>
      </w:pPr>
      <w:r w:rsidDel="00000000" w:rsidR="00000000" w:rsidRPr="00000000">
        <w:rPr>
          <w:rtl w:val="0"/>
        </w:rPr>
      </w:r>
    </w:p>
    <w:p w:rsidR="00000000" w:rsidDel="00000000" w:rsidP="00000000" w:rsidRDefault="00000000" w:rsidRPr="00000000" w14:paraId="0000022A">
      <w:pPr>
        <w:spacing w:after="120" w:line="300" w:lineRule="auto"/>
        <w:rPr/>
      </w:pPr>
      <w:r w:rsidDel="00000000" w:rsidR="00000000" w:rsidRPr="00000000">
        <w:rPr>
          <w:sz w:val="21"/>
          <w:szCs w:val="21"/>
          <w:rtl w:val="0"/>
        </w:rPr>
        <w:t xml:space="preserve">Use this checklist at the end of each implementation phase to confirm readiness to proceed. A ‘No’ answer is not a blocker — it is an action item. Do not advance to the next phase until every item in the current phase is confirmed.</w:t>
      </w:r>
      <w:r w:rsidDel="00000000" w:rsidR="00000000" w:rsidRPr="00000000">
        <w:rPr>
          <w:rtl w:val="0"/>
        </w:rPr>
      </w:r>
    </w:p>
    <w:p w:rsidR="00000000" w:rsidDel="00000000" w:rsidP="00000000" w:rsidRDefault="00000000" w:rsidRPr="00000000" w14:paraId="0000022B">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100.0" w:type="dxa"/>
              <w:left w:w="160.0" w:type="dxa"/>
              <w:bottom w:w="100.0" w:type="dxa"/>
              <w:right w:w="160.0" w:type="dxa"/>
            </w:tcMa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Phase 1 — Foundation &amp; Discovery (End of Week 3)</w:t>
            </w: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Complete inventory of all AI integrations in production, staging, and development</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All API keys and credentials documented and ownership assigned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Data flow diagrams completed for every integration</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Target gateway architecture designed and peer-reviewed</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Technology selection completed with vendor assessment documented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Architecture approval obtained from CISO, CTO, and Head of Engineering</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Governance committee established with membership and charter confirmed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Phase 2 kickoff meeting scheduled with all required stakeholders</w:t>
      </w:r>
      <w:r w:rsidDel="00000000" w:rsidR="00000000" w:rsidRPr="00000000">
        <w:rPr>
          <w:rtl w:val="0"/>
        </w:rPr>
      </w:r>
    </w:p>
    <w:p w:rsidR="00000000" w:rsidDel="00000000" w:rsidP="00000000" w:rsidRDefault="00000000" w:rsidRPr="00000000" w14:paraId="00000235">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7a" w:val="clear"/>
            <w:tcMar>
              <w:top w:w="100.0" w:type="dxa"/>
              <w:left w:w="160.0" w:type="dxa"/>
              <w:bottom w:w="100.0" w:type="dxa"/>
              <w:right w:w="160.0" w:type="dxa"/>
            </w:tcMar>
          </w:tcPr>
          <w:p w:rsidR="00000000" w:rsidDel="00000000" w:rsidP="00000000" w:rsidRDefault="00000000" w:rsidRPr="00000000" w14:paraId="00000236">
            <w:pPr>
              <w:rPr/>
            </w:pPr>
            <w:r w:rsidDel="00000000" w:rsidR="00000000" w:rsidRPr="00000000">
              <w:rPr>
                <w:b w:val="1"/>
                <w:bCs w:val="1"/>
                <w:color w:val="ffffff"/>
                <w:sz w:val="20"/>
                <w:szCs w:val="20"/>
                <w:rtl w:val="0"/>
              </w:rPr>
              <w:t xml:space="preserve">Phase 2 — Security &amp; Policy Layer (End of Week 6)</w:t>
            </w: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Gateway infrastructure deployed and stable in staging environment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All consumer types authenticated via gateway in staging</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Access policies authored, peer-reviewed, and approved for all consumers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PII scanner deployed and tested against synthetic representative traffic</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Audit logging pipeline live with completeness verified at 100%</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Penetration test completed; all critical and high findings resolved</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Security sign-off from CISO for production migration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Team documentation and onboarding materials prepared and reviewed</w:t>
      </w: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100.0" w:type="dxa"/>
              <w:left w:w="160.0" w:type="dxa"/>
              <w:bottom w:w="100.0" w:type="dxa"/>
              <w:right w:w="160.0" w:type="dxa"/>
            </w:tcMar>
          </w:tcPr>
          <w:p w:rsidR="00000000" w:rsidDel="00000000" w:rsidP="00000000" w:rsidRDefault="00000000" w:rsidRPr="00000000" w14:paraId="00000240">
            <w:pPr>
              <w:rPr/>
            </w:pPr>
            <w:r w:rsidDel="00000000" w:rsidR="00000000" w:rsidRPr="00000000">
              <w:rPr>
                <w:b w:val="1"/>
                <w:bCs w:val="1"/>
                <w:color w:val="ffffff"/>
                <w:sz w:val="20"/>
                <w:szCs w:val="20"/>
                <w:rtl w:val="0"/>
              </w:rPr>
              <w:t xml:space="preserve">Phase 3 — Cost Control &amp; Routing (End of Week 9)</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Budget envelopes configured for all consumers based on audit data</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Model routing rules deployed and tested against representative request samples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Semantic caching live with hit rate measured and baseline established</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Finance system integration live with cost attribution accuracy verified</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Cost dashboards deployed and signed off by Finance partners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Alert workflows tested end-to-end (budget threshold, anomaly, policy violation)</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First production migration batch completed without incidents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Rollback plan tested and documented for all migrated integrations</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00.0" w:type="dxa"/>
              <w:left w:w="160.0" w:type="dxa"/>
              <w:bottom w:w="100.0" w:type="dxa"/>
              <w:right w:w="160.0" w:type="dxa"/>
            </w:tcMar>
          </w:tcPr>
          <w:p w:rsidR="00000000" w:rsidDel="00000000" w:rsidP="00000000" w:rsidRDefault="00000000" w:rsidRPr="00000000" w14:paraId="0000024A">
            <w:pPr>
              <w:rPr/>
            </w:pPr>
            <w:r w:rsidDel="00000000" w:rsidR="00000000" w:rsidRPr="00000000">
              <w:rPr>
                <w:b w:val="1"/>
                <w:bCs w:val="1"/>
                <w:color w:val="ffffff"/>
                <w:sz w:val="20"/>
                <w:szCs w:val="20"/>
                <w:rtl w:val="0"/>
              </w:rPr>
              <w:t xml:space="preserve">Phase 4 — Production Hardening (End of Week 12)</w:t>
            </w:r>
            <w:r w:rsidDel="00000000" w:rsidR="00000000" w:rsidRPr="00000000">
              <w:rPr>
                <w:rtl w:val="0"/>
              </w:rPr>
            </w:r>
          </w:p>
        </w:tc>
      </w:tr>
    </w:tbl>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All production integrations migrated to gateway; direct credentials revoked</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Production penetration test completed; remediation timeline published</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SLAs published and distributed to all consuming teams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Monthly governance report template live and distributed to committee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All teams have completed gateway onboarding training</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First monthly cost and security report delivered to CISO, CTO, and CFO</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Quarterly policy review process established in governance calendar</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Post-implementation retrospective completed and lessons documented</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rtl w:val="0"/>
        </w:rPr>
      </w:r>
    </w:p>
    <w:p w:rsidR="00000000" w:rsidDel="00000000" w:rsidP="00000000" w:rsidRDefault="00000000" w:rsidRPr="00000000" w14:paraId="00000254">
      <w:pPr>
        <w:spacing w:after="100" w:lineRule="auto"/>
        <w:rPr/>
      </w:pPr>
      <w:r w:rsidDel="00000000" w:rsidR="00000000" w:rsidRPr="00000000">
        <w:rPr>
          <w:rtl w:val="0"/>
        </w:rPr>
      </w:r>
    </w:p>
    <w:p w:rsidR="00000000" w:rsidDel="00000000" w:rsidP="00000000" w:rsidRDefault="00000000" w:rsidRPr="00000000" w14:paraId="00000255">
      <w:pPr>
        <w:pBdr>
          <w:bottom w:color="d1dbe8" w:space="1" w:sz="6" w:val="single"/>
        </w:pBdr>
        <w:spacing w:after="60" w:before="60" w:lineRule="auto"/>
        <w:rPr/>
      </w:pP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tl w:val="0"/>
        </w:rPr>
        <w:t xml:space="preserve">Closing: What ‘Done’ Looks Like</w:t>
      </w:r>
    </w:p>
    <w:p w:rsidR="00000000" w:rsidDel="00000000" w:rsidP="00000000" w:rsidRDefault="00000000" w:rsidRPr="00000000" w14:paraId="00000258">
      <w:pPr>
        <w:spacing w:after="120" w:line="300" w:lineRule="auto"/>
        <w:rPr/>
      </w:pPr>
      <w:r w:rsidDel="00000000" w:rsidR="00000000" w:rsidRPr="00000000">
        <w:rPr>
          <w:sz w:val="21"/>
          <w:szCs w:val="21"/>
          <w:rtl w:val="0"/>
        </w:rPr>
        <w:t xml:space="preserve">The AI Gateway implementation is complete when every AI model access in the organisation flows through a single, governed, observable control plane. At that point, several things become true simultaneously that were not true before:</w:t>
      </w:r>
      <w:r w:rsidDel="00000000" w:rsidR="00000000" w:rsidRPr="00000000">
        <w:rPr>
          <w:rtl w:val="0"/>
        </w:rPr>
      </w:r>
    </w:p>
    <w:p w:rsidR="00000000" w:rsidDel="00000000" w:rsidP="00000000" w:rsidRDefault="00000000" w:rsidRPr="00000000" w14:paraId="00000259">
      <w:pPr>
        <w:spacing w:after="40" w:lineRule="auto"/>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Every token consumed can be attributed to a consumer, a purpose, and a budget.</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Every request to every model is authenticated, authorised, and logged.</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consumer can access a model above their authorised tier without explicit approval.</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confidential or restricted data can reach an external model provider.</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Cost grows linearly with genuine business need — not with entropy.</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 security incident involving AI model access can be contained within minutes rather than weeks.</w:t>
      </w:r>
      <w:r w:rsidDel="00000000" w:rsidR="00000000" w:rsidRPr="00000000">
        <w:rPr>
          <w:rtl w:val="0"/>
        </w:rPr>
      </w:r>
    </w:p>
    <w:p w:rsidR="00000000" w:rsidDel="00000000" w:rsidP="00000000" w:rsidRDefault="00000000" w:rsidRPr="00000000" w14:paraId="00000260">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0" w:val="clear"/>
            <w:tcMar>
              <w:top w:w="60.0" w:type="dxa"/>
              <w:left w:w="60.0" w:type="dxa"/>
              <w:bottom w:w="60.0" w:type="dxa"/>
              <w:right w:w="60.0" w:type="dxa"/>
            </w:tcMar>
          </w:tcPr>
          <w:p w:rsidR="00000000" w:rsidDel="00000000" w:rsidP="00000000" w:rsidRDefault="00000000" w:rsidRPr="00000000" w14:paraId="000002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120.0" w:type="dxa"/>
              <w:left w:w="180.0" w:type="dxa"/>
              <w:bottom w:w="120.0" w:type="dxa"/>
              <w:right w:w="180.0" w:type="dxa"/>
            </w:tcMar>
          </w:tcPr>
          <w:p w:rsidR="00000000" w:rsidDel="00000000" w:rsidP="00000000" w:rsidRDefault="00000000" w:rsidRPr="00000000" w14:paraId="00000262">
            <w:pPr>
              <w:spacing w:after="50" w:lineRule="auto"/>
              <w:rPr/>
            </w:pPr>
            <w:r w:rsidDel="00000000" w:rsidR="00000000" w:rsidRPr="00000000">
              <w:rPr>
                <w:b w:val="1"/>
                <w:bCs w:val="1"/>
                <w:color w:val="0f2040"/>
                <w:sz w:val="20"/>
                <w:szCs w:val="20"/>
                <w:rtl w:val="0"/>
              </w:rPr>
              <w:t xml:space="preserve">The Gateway as Competitive Infrastructure</w:t>
            </w:r>
            <w:r w:rsidDel="00000000" w:rsidR="00000000" w:rsidRPr="00000000">
              <w:rPr>
                <w:rtl w:val="0"/>
              </w:rPr>
            </w:r>
          </w:p>
          <w:p w:rsidR="00000000" w:rsidDel="00000000" w:rsidP="00000000" w:rsidRDefault="00000000" w:rsidRPr="00000000" w14:paraId="00000263">
            <w:pPr>
              <w:rPr/>
            </w:pPr>
            <w:r w:rsidDel="00000000" w:rsidR="00000000" w:rsidRPr="00000000">
              <w:rPr>
                <w:sz w:val="20"/>
                <w:szCs w:val="20"/>
                <w:rtl w:val="0"/>
              </w:rPr>
              <w:t xml:space="preserve">Organisations that establish a mature AI Gateway in 2025 will enter 2026 with a structural governance advantage. As AI regulation tightens, as model proliferation accelerates, and as AI costs become a board-level line item, the organisations with a proven control plane will move faster, spend less, and expose less risk than those still managing AI access team by team.</w:t>
            </w:r>
            <w:r w:rsidDel="00000000" w:rsidR="00000000" w:rsidRPr="00000000">
              <w:rPr>
                <w:rtl w:val="0"/>
              </w:rPr>
            </w:r>
          </w:p>
        </w:tc>
      </w:tr>
    </w:tbl>
    <w:p w:rsidR="00000000" w:rsidDel="00000000" w:rsidP="00000000" w:rsidRDefault="00000000" w:rsidRPr="00000000" w14:paraId="00000264">
      <w:pPr>
        <w:spacing w:after="300" w:lineRule="auto"/>
        <w:rPr/>
      </w:pPr>
      <w:r w:rsidDel="00000000" w:rsidR="00000000" w:rsidRPr="00000000">
        <w:rPr>
          <w:rtl w:val="0"/>
        </w:rPr>
      </w:r>
    </w:p>
    <w:p w:rsidR="00000000" w:rsidDel="00000000" w:rsidP="00000000" w:rsidRDefault="00000000" w:rsidRPr="00000000" w14:paraId="00000265">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6">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7">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8">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9">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A">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B">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C">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D">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E">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6F">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70">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71">
      <w:pPr>
        <w:spacing w:after="80" w:lineRule="auto"/>
        <w:jc w:val="center"/>
        <w:rPr>
          <w:color w:val="64748b"/>
          <w:sz w:val="18"/>
          <w:szCs w:val="18"/>
        </w:rPr>
      </w:pPr>
      <w:r w:rsidDel="00000000" w:rsidR="00000000" w:rsidRPr="00000000">
        <w:rPr>
          <w:rtl w:val="0"/>
        </w:rPr>
      </w:r>
    </w:p>
    <w:p w:rsidR="00000000" w:rsidDel="00000000" w:rsidP="00000000" w:rsidRDefault="00000000" w:rsidRPr="00000000" w14:paraId="00000272">
      <w:pPr>
        <w:spacing w:after="80" w:lineRule="auto"/>
        <w:jc w:val="center"/>
        <w:rPr/>
      </w:pPr>
      <w:r w:rsidDel="00000000" w:rsidR="00000000" w:rsidRPr="00000000">
        <w:rPr>
          <w:color w:val="64748b"/>
          <w:sz w:val="18"/>
          <w:szCs w:val="18"/>
          <w:rtl w:val="0"/>
        </w:rPr>
        <w:t xml:space="preserve">Accredian is a leading Indian institution specializing in AI, Data Science, and Management research and education. Visit us at: </w:t>
      </w:r>
      <w:hyperlink r:id="rId16">
        <w:r w:rsidDel="00000000" w:rsidR="00000000" w:rsidRPr="00000000">
          <w:rPr>
            <w:color w:val="0a6e7a"/>
            <w:sz w:val="18"/>
            <w:szCs w:val="18"/>
            <w:u w:val="single"/>
            <w:rtl w:val="0"/>
          </w:rPr>
          <w:t xml:space="preserve">https://accredian.com</w:t>
        </w:r>
      </w:hyperlink>
      <w:r w:rsidDel="00000000" w:rsidR="00000000" w:rsidRPr="00000000">
        <w:rPr>
          <w:rtl w:val="0"/>
        </w:rPr>
      </w:r>
    </w:p>
    <w:sectPr>
      <w:headerReference r:id="rId17" w:type="default"/>
      <w:footerReference r:id="rId1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color="d1dbe8" w:space="1" w:sz="4" w:val="single"/>
      </w:pBdr>
      <w:spacing w:before="60" w:lineRule="auto"/>
      <w:jc w:val="center"/>
      <w:rPr/>
    </w:pPr>
    <w:r w:rsidDel="00000000" w:rsidR="00000000" w:rsidRPr="00000000">
      <w:rPr>
        <w:color w:val="64748b"/>
        <w:sz w:val="16"/>
        <w:szCs w:val="16"/>
        <w:rtl w:val="0"/>
      </w:rPr>
      <w:t xml:space="preserve">Page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pBdr>
        <w:bottom w:color="0f2040" w:space="1" w:sz="6" w:val="single"/>
      </w:pBdr>
      <w:spacing w:after="80" w:lineRule="auto"/>
      <w:jc w:val="right"/>
      <w:rPr/>
    </w:pPr>
    <w:r w:rsidDel="00000000" w:rsidR="00000000" w:rsidRPr="00000000">
      <w:rPr>
        <w:color w:val="64748b"/>
        <w:sz w:val="18"/>
        <w:szCs w:val="18"/>
        <w:rtl w:val="0"/>
      </w:rPr>
      <w:t xml:space="preserve">Establishing the AI Gateway — Security &amp; Cost Control Roadmap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rFonts w:ascii="Calibri" w:cs="Calibri" w:eastAsia="Calibri" w:hAnsi="Calibri"/>
        <w:color w:val="334155"/>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640" w:hanging="320"/>
      </w:pPr>
      <w:rPr>
        <w:rFonts w:ascii="Calibri" w:cs="Calibri" w:eastAsia="Calibri" w:hAnsi="Calibri"/>
        <w:color w:val="334155"/>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640" w:hanging="320"/>
      </w:pPr>
      <w:rPr>
        <w:rFonts w:ascii="Calibri" w:cs="Calibri" w:eastAsia="Calibri" w:hAnsi="Calibri"/>
        <w:color w:val="0f2040"/>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0f20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1a326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0a6e7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34155"/>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13" Type="http://schemas.openxmlformats.org/officeDocument/2006/relationships/hyperlink" Target="https://accredian.com" TargetMode="External"/><Relationship Id="rId12" Type="http://schemas.openxmlformats.org/officeDocument/2006/relationships/hyperlink" Target="https://accredi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redian.com" TargetMode="External"/><Relationship Id="rId15" Type="http://schemas.openxmlformats.org/officeDocument/2006/relationships/hyperlink" Target="https://accredian.com" TargetMode="External"/><Relationship Id="rId14" Type="http://schemas.openxmlformats.org/officeDocument/2006/relationships/hyperlink" Target="https://accredian.com" TargetMode="External"/><Relationship Id="rId17" Type="http://schemas.openxmlformats.org/officeDocument/2006/relationships/header" Target="header1.xml"/><Relationship Id="rId16"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wU3YOkqNzA6+9+jSO9CG2+YAA==">CgMxLjA4AHIhMURiNWhpcmU4QWlyd0dCZzRGVGZfeUQwMjZ0V245djFK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2026-04-04T11:48:00Z</dcterms:created>
  <dc:creator>Un-named</dc:creator>
</cp:coreProperties>
</file>