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56"/>
          <w:szCs w:val="56"/>
          <w:rtl w:val="0"/>
        </w:rPr>
        <w:t xml:space="preserve">GenAI + AI Systems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56"/>
          <w:szCs w:val="56"/>
          <w:rtl w:val="0"/>
        </w:rPr>
        <w:t xml:space="preserve">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8" w:sz="4" w:val="single"/>
        </w:pBd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From Foundations to Production-Ready AI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roadmap is designed to take you from core machine learning and deep learning concepts to building production-grade AI systems using modern GenAI frameworks. It emphasizes hands-on development, system design, and real-world applications aligned with industry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0 —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1–2 weeks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Mathematics and 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Linear algebra (vectors, matrices, dot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Probability and statistics (distributions, Bayes theorem)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Optimization (gradient descent)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Python (functions, OOP, data structures)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NumPy and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Working with APIs (JSON, 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Machine Learning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Supervised vs unsupervised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Overfitting and bias-variance tradeoff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Training vs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1 — Deep Learning &amp;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2 weeks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Neural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Forward and backward propagation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Loss functions and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PyTorch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Attention mechanism (Query, Key,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Self-attention and multi-head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Encoder vs decoder architectures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BERT vs GPT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Text classification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Basic transformer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2 — NLP &amp;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1–2 weeks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Tokenization (BPE, WordPiece)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Embeddings and semantic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Cosine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HuggingFace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SentenceTransformers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Semantic search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Sentence similarity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3 — Retrieval-Augmented Generation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2–3 weeks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Chunking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Embeddings and vector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Retrieval vs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Tools and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FAISS, Chroma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OpenAI or open-source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LangChain or LlamaIndex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Advanced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Hybrid search (keyword + vector)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Reranking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Context 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Chat with PDF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Knowledge base question answering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Domain-specific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4 — Agents &amp; AI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2 weeks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Tool usage in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ReAct (Reasoning + Acting)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Planning and execution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LangChain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LangGraph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Building custom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Multi-step reasoning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Research assistant with web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Code execution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Multi-step data analysis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5 — AI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2 weeks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Designing scalable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Latency vs accuracy tradeoffs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Cost optimization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System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Retrieval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Caching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Streaming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Design a ChatGPT-like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Design a production RAG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6 — Evaluation &amp;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1 week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Hallucinations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Retrieval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Prompt inconsistencies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LangSmith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RAGAS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Faithfulness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Relevance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7 — Production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1–2 weeks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Backend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Async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Docker containerization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Cloud platforms (AWS, GCP, Azure)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Caching (Redis, SQLite)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Rate limiting and retries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Streaming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Stage 8 — Portfolio &amp; Career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2e75b6" w:space="0" w:sz="4" w:val="single"/>
          <w:left w:color="2e75b6" w:space="0" w:sz="8" w:val="single"/>
          <w:bottom w:color="2e75b6" w:space="0" w:sz="4" w:val="single"/>
          <w:right w:color="2e75b6" w:space="0" w:sz="4" w:val="single"/>
        </w:pBdr>
        <w:shd w:fill="d9e8f5" w:val="clear"/>
        <w:spacing w:after="160" w:before="8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  Duration: Ongoing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Required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End-to-end RAG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agent with multiple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Domain-specific project (e.g., Physics +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Focus on AI systems engineering, not just model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Highlight real-world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pBdr>
          <w:bottom w:color="2e75b6" w:space="0" w:sz="4" w:val="single"/>
        </w:pBdr>
        <w:shd w:fill="1e3a5f" w:val="clear"/>
        <w:spacing w:after="200" w:before="4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Roadmap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80"/>
        <w:gridCol w:w="2180"/>
        <w:gridCol w:w="5000"/>
        <w:tblGridChange w:id="0">
          <w:tblGrid>
            <w:gridCol w:w="2180"/>
            <w:gridCol w:w="218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1–2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Foundations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Deep Learning &amp; Transformers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1–2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NLP &amp;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2–3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RAG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Agents &amp;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Evaluation &amp; 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1–2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Production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Stage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Portfolio &amp; Career Prep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color="2e75b6" w:space="4" w:sz="4" w:val="single"/>
      </w:pBd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spacing w:after="0"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Accredian is a leading Indian institution specializing in AI, Data Science, and Management research and education.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spacing w:after="0" w:before="4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Visit us at: </w:t>
    </w:r>
    <w:hyperlink r:id="rId1">
      <w:r w:rsidDel="00000000" w:rsidR="00000000" w:rsidRPr="00000000">
        <w:rPr>
          <w:rFonts w:ascii="Arial" w:cs="Arial" w:eastAsia="Arial" w:hAnsi="Arial"/>
          <w:color w:val="2e75b6"/>
          <w:sz w:val="16"/>
          <w:szCs w:val="16"/>
          <w:u w:val="single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shd w:fill="1e3a5f" w:val="clear"/>
      <w:spacing w:after="120" w:before="120" w:lineRule="auto"/>
      <w:ind w:left="180" w:right="180" w:firstLine="0"/>
      <w:rPr/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20"/>
        <w:szCs w:val="20"/>
        <w:rtl w:val="0"/>
      </w:rPr>
      <w:t xml:space="preserve">GenAI + AI Systems Engineering Roadmap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