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Capítulo 1 - Introducción</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1F6951"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F6951" w:rsidRPr="00867378">
        <w:rPr>
          <w:noProof/>
          <w:lang w:val="es-ES_tradnl"/>
        </w:rPr>
        <w:t>1</w:t>
      </w:r>
      <w:r w:rsidR="001F6951">
        <w:rPr>
          <w:rFonts w:asciiTheme="minorHAnsi" w:eastAsiaTheme="minorEastAsia" w:hAnsiTheme="minorHAnsi" w:cstheme="minorBidi"/>
          <w:b w:val="0"/>
          <w:noProof/>
          <w:sz w:val="22"/>
          <w:szCs w:val="22"/>
        </w:rPr>
        <w:tab/>
      </w:r>
      <w:r w:rsidR="001F6951" w:rsidRPr="00867378">
        <w:rPr>
          <w:noProof/>
          <w:lang w:val="es-ES_tradnl"/>
        </w:rPr>
        <w:t>INTRODUCCIÓN</w:t>
      </w:r>
      <w:r w:rsidR="001F6951">
        <w:rPr>
          <w:noProof/>
        </w:rPr>
        <w:tab/>
      </w:r>
      <w:r w:rsidR="001F6951">
        <w:rPr>
          <w:noProof/>
        </w:rPr>
        <w:fldChar w:fldCharType="begin"/>
      </w:r>
      <w:r w:rsidR="001F6951">
        <w:rPr>
          <w:noProof/>
        </w:rPr>
        <w:instrText xml:space="preserve"> PAGEREF _Toc416694171 \h </w:instrText>
      </w:r>
      <w:r w:rsidR="001F6951">
        <w:rPr>
          <w:noProof/>
        </w:rPr>
      </w:r>
      <w:r w:rsidR="001F6951">
        <w:rPr>
          <w:noProof/>
        </w:rPr>
        <w:fldChar w:fldCharType="separate"/>
      </w:r>
      <w:r w:rsidR="001F6951">
        <w:rPr>
          <w:noProof/>
        </w:rPr>
        <w:t>4</w:t>
      </w:r>
      <w:r w:rsidR="001F6951">
        <w:rPr>
          <w:noProof/>
        </w:rPr>
        <w:fldChar w:fldCharType="end"/>
      </w:r>
    </w:p>
    <w:p w:rsidR="001F6951" w:rsidRDefault="001F6951">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la división Energía y la unidad de negocio Fotovoltaica</w:t>
      </w:r>
      <w:r>
        <w:rPr>
          <w:noProof/>
        </w:rPr>
        <w:tab/>
      </w:r>
      <w:r>
        <w:rPr>
          <w:noProof/>
        </w:rPr>
        <w:fldChar w:fldCharType="begin"/>
      </w:r>
      <w:r>
        <w:rPr>
          <w:noProof/>
        </w:rPr>
        <w:instrText xml:space="preserve"> PAGEREF _Toc416694172 \h </w:instrText>
      </w:r>
      <w:r>
        <w:rPr>
          <w:noProof/>
        </w:rPr>
      </w:r>
      <w:r>
        <w:rPr>
          <w:noProof/>
        </w:rPr>
        <w:fldChar w:fldCharType="separate"/>
      </w:r>
      <w:r>
        <w:rPr>
          <w:noProof/>
        </w:rPr>
        <w:t>5</w:t>
      </w:r>
      <w:r>
        <w:rPr>
          <w:noProof/>
        </w:rPr>
        <w:fldChar w:fldCharType="end"/>
      </w:r>
    </w:p>
    <w:p w:rsidR="001F6951" w:rsidRDefault="001F6951">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_Toc416694173 \h </w:instrText>
      </w:r>
      <w:r>
        <w:rPr>
          <w:noProof/>
        </w:rPr>
      </w:r>
      <w:r>
        <w:rPr>
          <w:noProof/>
        </w:rPr>
        <w:fldChar w:fldCharType="separate"/>
      </w:r>
      <w:r>
        <w:rPr>
          <w:noProof/>
        </w:rPr>
        <w:t>8</w:t>
      </w:r>
      <w:r>
        <w:rPr>
          <w:noProof/>
        </w:rPr>
        <w:fldChar w:fldCharType="end"/>
      </w:r>
    </w:p>
    <w:p w:rsidR="001F6951" w:rsidRDefault="001F6951">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_Toc416694174 \h </w:instrText>
      </w:r>
      <w:r>
        <w:rPr>
          <w:noProof/>
        </w:rPr>
      </w:r>
      <w:r>
        <w:rPr>
          <w:noProof/>
        </w:rPr>
        <w:fldChar w:fldCharType="separate"/>
      </w:r>
      <w:r>
        <w:rPr>
          <w:noProof/>
        </w:rPr>
        <w:t>9</w:t>
      </w:r>
      <w:r>
        <w:rPr>
          <w:noProof/>
        </w:rPr>
        <w:fldChar w:fldCharType="end"/>
      </w:r>
    </w:p>
    <w:p w:rsidR="001F6951" w:rsidRDefault="001F6951">
      <w:pPr>
        <w:pStyle w:val="TDC3"/>
        <w:tabs>
          <w:tab w:val="left" w:pos="1100"/>
          <w:tab w:val="right" w:leader="dot" w:pos="9202"/>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_Toc416694175 \h </w:instrText>
      </w:r>
      <w:r>
        <w:rPr>
          <w:noProof/>
        </w:rPr>
      </w:r>
      <w:r>
        <w:rPr>
          <w:noProof/>
        </w:rPr>
        <w:fldChar w:fldCharType="separate"/>
      </w:r>
      <w:r>
        <w:rPr>
          <w:noProof/>
        </w:rPr>
        <w:t>10</w:t>
      </w:r>
      <w:r>
        <w:rPr>
          <w:noProof/>
        </w:rPr>
        <w:fldChar w:fldCharType="end"/>
      </w:r>
    </w:p>
    <w:p w:rsidR="001F6951" w:rsidRDefault="001F6951">
      <w:pPr>
        <w:pStyle w:val="TDC3"/>
        <w:tabs>
          <w:tab w:val="left" w:pos="1100"/>
          <w:tab w:val="right" w:leader="dot" w:pos="9202"/>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_Toc416694176 \h </w:instrText>
      </w:r>
      <w:r>
        <w:rPr>
          <w:noProof/>
        </w:rPr>
      </w:r>
      <w:r>
        <w:rPr>
          <w:noProof/>
        </w:rPr>
        <w:fldChar w:fldCharType="separate"/>
      </w:r>
      <w:r>
        <w:rPr>
          <w:noProof/>
        </w:rPr>
        <w:t>14</w:t>
      </w:r>
      <w:r>
        <w:rPr>
          <w:noProof/>
        </w:rPr>
        <w:fldChar w:fldCharType="end"/>
      </w:r>
    </w:p>
    <w:p w:rsidR="001F6951" w:rsidRDefault="001F6951">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_Toc416694177 \h </w:instrText>
      </w:r>
      <w:r>
        <w:rPr>
          <w:noProof/>
        </w:rPr>
      </w:r>
      <w:r>
        <w:rPr>
          <w:noProof/>
        </w:rPr>
        <w:fldChar w:fldCharType="separate"/>
      </w:r>
      <w:r>
        <w:rPr>
          <w:noProof/>
        </w:rPr>
        <w:t>15</w:t>
      </w:r>
      <w:r>
        <w:rPr>
          <w:noProof/>
        </w:rPr>
        <w:fldChar w:fldCharType="end"/>
      </w:r>
    </w:p>
    <w:p w:rsidR="0070212E" w:rsidRPr="00471562" w:rsidRDefault="00D9600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471562"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1F6951" w:rsidP="00F34C7A">
            <w:pPr>
              <w:jc w:val="center"/>
              <w:rPr>
                <w:rFonts w:eastAsia="Times New Roman"/>
                <w:szCs w:val="20"/>
                <w:lang w:val="es-ES_tradnl" w:eastAsia="es-ES"/>
              </w:rPr>
            </w:pPr>
            <w:r>
              <w:rPr>
                <w:rFonts w:eastAsia="Times New Roman"/>
                <w:szCs w:val="20"/>
                <w:lang w:val="es-ES_tradnl" w:eastAsia="es-ES"/>
              </w:rPr>
              <w:t>150413</w:t>
            </w:r>
          </w:p>
        </w:tc>
        <w:tc>
          <w:tcPr>
            <w:tcW w:w="1653" w:type="dxa"/>
            <w:tcBorders>
              <w:top w:val="single" w:sz="6" w:space="0" w:color="000000"/>
            </w:tcBorders>
            <w:vAlign w:val="center"/>
          </w:tcPr>
          <w:p w:rsidR="00243040" w:rsidRPr="00471562" w:rsidRDefault="001F6951" w:rsidP="00F34C7A">
            <w:pPr>
              <w:jc w:val="center"/>
              <w:rPr>
                <w:rFonts w:eastAsia="Times New Roman"/>
                <w:szCs w:val="20"/>
                <w:lang w:val="es-ES_tradnl" w:eastAsia="es-ES"/>
              </w:rPr>
            </w:pPr>
            <w:r>
              <w:rPr>
                <w:rFonts w:eastAsia="Times New Roman"/>
                <w:szCs w:val="20"/>
                <w:lang w:val="es-ES_tradnl" w:eastAsia="es-ES"/>
              </w:rPr>
              <w:t>13/04/2015</w:t>
            </w:r>
          </w:p>
        </w:tc>
        <w:tc>
          <w:tcPr>
            <w:tcW w:w="2228" w:type="dxa"/>
            <w:tcBorders>
              <w:top w:val="single" w:sz="6" w:space="0" w:color="000000"/>
            </w:tcBorders>
            <w:vAlign w:val="center"/>
          </w:tcPr>
          <w:p w:rsidR="00243040" w:rsidRDefault="001F6951"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1F6951" w:rsidRPr="00471562" w:rsidRDefault="001F6951"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Revisión completa</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767BA0" w:rsidRPr="00471562" w:rsidTr="00767BA0">
        <w:trPr>
          <w:trHeight w:val="386"/>
          <w:jc w:val="center"/>
        </w:trPr>
        <w:tc>
          <w:tcPr>
            <w:tcW w:w="1559" w:type="dxa"/>
            <w:vAlign w:val="center"/>
          </w:tcPr>
          <w:p w:rsidR="00767BA0" w:rsidRPr="00471562" w:rsidRDefault="00767BA0" w:rsidP="00767BA0">
            <w:pPr>
              <w:jc w:val="center"/>
              <w:rPr>
                <w:rFonts w:eastAsia="Times New Roman"/>
                <w:sz w:val="18"/>
                <w:szCs w:val="20"/>
                <w:lang w:val="es-ES_tradnl" w:eastAsia="es-ES"/>
              </w:rPr>
            </w:pPr>
            <w:r>
              <w:rPr>
                <w:rFonts w:eastAsia="Times New Roman"/>
                <w:sz w:val="18"/>
                <w:szCs w:val="20"/>
                <w:lang w:val="es-ES_tradnl" w:eastAsia="es-ES"/>
              </w:rPr>
              <w:t>150413</w:t>
            </w:r>
          </w:p>
        </w:tc>
        <w:tc>
          <w:tcPr>
            <w:tcW w:w="6946" w:type="dxa"/>
            <w:vAlign w:val="center"/>
          </w:tcPr>
          <w:p w:rsidR="00767BA0" w:rsidRPr="00471562" w:rsidRDefault="00767BA0" w:rsidP="00767BA0">
            <w:pPr>
              <w:rPr>
                <w:rFonts w:eastAsia="Times New Roman"/>
                <w:sz w:val="18"/>
                <w:szCs w:val="20"/>
                <w:lang w:val="es-ES_tradnl" w:eastAsia="es-ES"/>
              </w:rPr>
            </w:pPr>
            <w:r>
              <w:rPr>
                <w:rFonts w:eastAsia="Times New Roman"/>
                <w:sz w:val="18"/>
                <w:szCs w:val="20"/>
                <w:lang w:val="es-ES_tradnl" w:eastAsia="es-ES"/>
              </w:rPr>
              <w:t>Creación del documento IPT_ACRM_DA</w:t>
            </w:r>
            <w:r w:rsidR="00BC587D">
              <w:rPr>
                <w:rFonts w:eastAsia="Times New Roman"/>
                <w:sz w:val="18"/>
                <w:szCs w:val="20"/>
                <w:lang w:val="es-ES_tradnl" w:eastAsia="es-ES"/>
              </w:rPr>
              <w:t>_</w:t>
            </w:r>
            <w:bookmarkStart w:id="2" w:name="_GoBack"/>
            <w:bookmarkEnd w:id="2"/>
            <w:r>
              <w:rPr>
                <w:rFonts w:eastAsia="Times New Roman"/>
                <w:sz w:val="18"/>
                <w:szCs w:val="20"/>
                <w:lang w:val="es-ES_tradnl" w:eastAsia="es-ES"/>
              </w:rPr>
              <w:t>Cap01_150413</w:t>
            </w: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6694171"/>
      <w:r>
        <w:rPr>
          <w:lang w:val="es-ES_tradnl"/>
        </w:rPr>
        <w:t>INTRODUCCIÓN</w:t>
      </w:r>
      <w:bookmarkEnd w:id="3"/>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r w:rsidRPr="002E61EC">
        <w:rPr>
          <w:rFonts w:eastAsia="Times New Roman"/>
          <w:i/>
          <w:szCs w:val="20"/>
          <w:lang w:val="es-ES_tradnl" w:eastAsia="es-ES"/>
        </w:rPr>
        <w:t>checklist</w:t>
      </w:r>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4" w:name="_Toc416694172"/>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4"/>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Grids,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r w:rsidRPr="007F36E3">
        <w:t>utility</w:t>
      </w:r>
      <w:r>
        <w:t>.</w:t>
      </w:r>
    </w:p>
    <w:p w:rsidR="00F83602" w:rsidRDefault="00F83602" w:rsidP="00F83602">
      <w:pPr>
        <w:jc w:val="both"/>
      </w:pPr>
    </w:p>
    <w:p w:rsidR="00F83602" w:rsidRDefault="00F83602" w:rsidP="00F83602">
      <w:pPr>
        <w:jc w:val="both"/>
      </w:pPr>
      <w:r>
        <w:t>Hoy, la capacidad mundial acumulada de Ingeteam de inversores FV instalados es alrededor de 4.5 GWp,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4,5 GWp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utility (con transformador MV incluido), inversores híbridos para sistemas aislados, </w:t>
      </w:r>
      <w:r w:rsidRPr="007F36E3">
        <w:rPr>
          <w:i/>
        </w:rPr>
        <w:t>string</w:t>
      </w:r>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kW)</w:t>
      </w:r>
    </w:p>
    <w:p w:rsidR="00F83602" w:rsidRDefault="00F83602" w:rsidP="00F83602">
      <w:pPr>
        <w:jc w:val="both"/>
      </w:pPr>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kW)</w:t>
      </w:r>
    </w:p>
    <w:p w:rsidR="00F83602" w:rsidRDefault="00F83602" w:rsidP="00F83602">
      <w:pPr>
        <w:jc w:val="both"/>
      </w:pPr>
      <w:r>
        <w:t xml:space="preserve">La oferta de Ingeteam para el sector comercial incluye los más novedosos inversores </w:t>
      </w:r>
      <w:r w:rsidRPr="007F36E3">
        <w:rPr>
          <w:i/>
        </w:rPr>
        <w:t>string</w:t>
      </w:r>
      <w:r w:rsidRPr="007F36E3">
        <w:t xml:space="preserve"> </w:t>
      </w:r>
      <w:r>
        <w:t>sin transformador (Ingecon Sun 3Play 10kW a 20kW/ 24 kW UL), los modelos Ingecon Sun Power con potencias de salida desde los 50 kW a 250 kW y los modelos Ingecon Sun PowerMax U con aislamiento galvánico hasta los 500 kW.</w:t>
      </w:r>
    </w:p>
    <w:p w:rsidR="00F83602" w:rsidRDefault="00F83602" w:rsidP="00F83602">
      <w:pPr>
        <w:jc w:val="both"/>
      </w:pPr>
    </w:p>
    <w:p w:rsidR="00F83602" w:rsidRDefault="00F83602" w:rsidP="00F83602">
      <w:pPr>
        <w:jc w:val="both"/>
        <w:rPr>
          <w:b/>
        </w:rPr>
      </w:pPr>
      <w:r>
        <w:rPr>
          <w:b/>
        </w:rPr>
        <w:t>Sector Utility</w:t>
      </w:r>
      <w:r w:rsidR="00675B47">
        <w:rPr>
          <w:b/>
        </w:rPr>
        <w:t xml:space="preserve"> (más de 1 MW)</w:t>
      </w:r>
    </w:p>
    <w:p w:rsidR="00F83602" w:rsidRDefault="00F83602" w:rsidP="00F83602">
      <w:pPr>
        <w:jc w:val="both"/>
      </w:pPr>
      <w:r>
        <w:t xml:space="preserve">La línea de productos orientada al sector de escala </w:t>
      </w:r>
      <w:r w:rsidRPr="007F36E3">
        <w:t xml:space="preserve">utility </w:t>
      </w:r>
      <w:r>
        <w:t>es la familia Ingecon Sun Power Max y la soluciones integradas MV Power Station desde 125 kW a 1070 MW. La gama PowerMax está disponible en versión modular (Multi MPPT/Master Slave) y la versión Monoblock. Ingeteam también ofrece una gran variedad de soluciones personalizadas Turn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 xml:space="preserve">ía trifásico bidireccional que puede ser usado en sistemas conectados </w:t>
      </w:r>
      <w:r>
        <w:rPr>
          <w:rFonts w:cs="Arial"/>
          <w:iCs/>
          <w:szCs w:val="24"/>
        </w:rPr>
        <w:lastRenderedPageBreak/>
        <w:t>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bookmarkStart w:id="5" w:name="_Toc416694173"/>
      <w:r>
        <w:t>Organigramas</w:t>
      </w:r>
      <w:bookmarkEnd w:id="5"/>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DA3CD8">
        <w:rPr>
          <w:rFonts w:cs="Arial"/>
          <w:iCs/>
          <w:szCs w:val="24"/>
        </w:rPr>
        <w:t xml:space="preserve"> :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jc w:val="both"/>
        <w:rPr>
          <w:rFonts w:eastAsia="Times New Roman"/>
          <w:szCs w:val="20"/>
          <w:lang w:eastAsia="es-ES"/>
        </w:rPr>
      </w:pPr>
    </w:p>
    <w:p w:rsidR="00DA3CD8" w:rsidRDefault="00DA3CD8" w:rsidP="00DA3CD8">
      <w:pPr>
        <w:pStyle w:val="Ttulo2"/>
        <w:rPr>
          <w:lang w:eastAsia="es-ES"/>
        </w:rPr>
      </w:pPr>
      <w:bookmarkStart w:id="6" w:name="_Toc414217429"/>
      <w:bookmarkStart w:id="7" w:name="_Toc416694174"/>
      <w:r w:rsidRPr="00DB0241">
        <w:rPr>
          <w:lang w:eastAsia="es-ES"/>
        </w:rPr>
        <w:t>Breve presentación del portfolio de productos y servicios</w:t>
      </w:r>
      <w:bookmarkEnd w:id="6"/>
      <w:bookmarkEnd w:id="7"/>
    </w:p>
    <w:p w:rsidR="00DA3CD8" w:rsidRPr="002D6856" w:rsidRDefault="00DA3CD8" w:rsidP="00DA3CD8">
      <w:pPr>
        <w:rPr>
          <w:lang w:eastAsia="es-ES"/>
        </w:rPr>
      </w:pPr>
    </w:p>
    <w:p w:rsidR="00DA3CD8" w:rsidRDefault="00DA3CD8" w:rsidP="00DA3CD8">
      <w:pPr>
        <w:jc w:val="both"/>
        <w:rPr>
          <w:rFonts w:cs="Arial"/>
          <w:iCs/>
          <w:szCs w:val="24"/>
        </w:rPr>
      </w:pPr>
      <w:r>
        <w:rPr>
          <w:rFonts w:cs="Arial"/>
          <w:iCs/>
          <w:szCs w:val="24"/>
        </w:rPr>
        <w:t xml:space="preserve">A continuación presentaremos los productos y servicios ofertados por INGETEAM, que están en el orden de entre </w:t>
      </w:r>
      <w:r w:rsidRPr="00B26E20">
        <w:rPr>
          <w:rFonts w:cs="Arial"/>
          <w:iCs/>
          <w:color w:val="FF0000"/>
          <w:szCs w:val="24"/>
        </w:rPr>
        <w:t>3.000 y 4.000 artículos</w:t>
      </w:r>
      <w:r>
        <w:rPr>
          <w:rFonts w:cs="Arial"/>
          <w:iCs/>
          <w:color w:val="FF0000"/>
          <w:szCs w:val="24"/>
        </w:rPr>
        <w:t xml:space="preserve"> creados</w:t>
      </w:r>
      <w:r w:rsidRPr="00B26E20">
        <w:rPr>
          <w:rFonts w:cs="Arial"/>
          <w:iCs/>
          <w:color w:val="FF0000"/>
          <w:szCs w:val="24"/>
        </w:rPr>
        <w:t>.</w:t>
      </w:r>
    </w:p>
    <w:p w:rsidR="00DA3CD8" w:rsidRDefault="00DA3CD8" w:rsidP="00DA3CD8">
      <w:pPr>
        <w:jc w:val="both"/>
        <w:rPr>
          <w:rFonts w:cs="Arial"/>
          <w:iCs/>
          <w:szCs w:val="24"/>
        </w:rPr>
      </w:pPr>
    </w:p>
    <w:p w:rsidR="00D17765" w:rsidRDefault="00D17765" w:rsidP="00DA3CD8">
      <w:pPr>
        <w:jc w:val="both"/>
        <w:rPr>
          <w:rFonts w:cs="Arial"/>
          <w:iCs/>
          <w:szCs w:val="24"/>
        </w:rPr>
      </w:pPr>
      <w:r>
        <w:rPr>
          <w:rFonts w:cs="Arial"/>
          <w:iCs/>
          <w:szCs w:val="24"/>
        </w:rPr>
        <w:t xml:space="preserve">En modo simplificado podemos decir que existen productos "estándar" y productos "configurables" en función de las características de cada proyecto. En líneas generales los productos estándar atacan a mercados de rotación (residencial, </w:t>
      </w:r>
      <w:r w:rsidRPr="00A75A74">
        <w:rPr>
          <w:rFonts w:cs="Arial"/>
          <w:iCs/>
          <w:szCs w:val="24"/>
        </w:rPr>
        <w:t>comercial e industrial) y los configurables que generalmente van destinados a grandes proyectos que requieren un grado de configuración muy específico.</w:t>
      </w:r>
    </w:p>
    <w:p w:rsidR="00A75A74" w:rsidRDefault="00A75A74" w:rsidP="00DA3CD8">
      <w:pPr>
        <w:jc w:val="both"/>
        <w:rPr>
          <w:rFonts w:cs="Arial"/>
          <w:iCs/>
          <w:szCs w:val="24"/>
        </w:rPr>
      </w:pPr>
    </w:p>
    <w:p w:rsidR="00A75A74" w:rsidRDefault="00A75A74" w:rsidP="00A75A74">
      <w:pPr>
        <w:jc w:val="both"/>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FF0857" w:rsidRPr="00A75A74" w:rsidRDefault="00FF0857" w:rsidP="00DA3CD8">
      <w:pPr>
        <w:jc w:val="both"/>
        <w:rPr>
          <w:rFonts w:cs="Arial"/>
          <w:iCs/>
          <w:szCs w:val="24"/>
        </w:rPr>
      </w:pPr>
    </w:p>
    <w:p w:rsidR="00FF0857" w:rsidRPr="00A75A74" w:rsidRDefault="00FF0857" w:rsidP="00A75A74">
      <w:pPr>
        <w:jc w:val="both"/>
        <w:rPr>
          <w:rFonts w:cs="Arial"/>
          <w:iCs/>
          <w:szCs w:val="24"/>
        </w:rPr>
      </w:pPr>
      <w:r w:rsidRPr="00A75A74">
        <w:rPr>
          <w:rFonts w:cs="Arial"/>
          <w:iCs/>
          <w:szCs w:val="24"/>
        </w:rPr>
        <w:t xml:space="preserve">Ingeteam FV trabaja con </w:t>
      </w:r>
      <w:r w:rsidR="00A75A74">
        <w:rPr>
          <w:rFonts w:cs="Arial"/>
          <w:iCs/>
          <w:szCs w:val="24"/>
        </w:rPr>
        <w:t xml:space="preserve">diferentes </w:t>
      </w:r>
      <w:r w:rsidRPr="00A75A74">
        <w:rPr>
          <w:rFonts w:cs="Arial"/>
          <w:iCs/>
          <w:szCs w:val="24"/>
        </w:rPr>
        <w:t>productos</w:t>
      </w:r>
      <w:r w:rsidR="00A75A74">
        <w:rPr>
          <w:rFonts w:cs="Arial"/>
          <w:iCs/>
          <w:szCs w:val="24"/>
        </w:rPr>
        <w:t xml:space="preserve">, como, por ejemplo, </w:t>
      </w:r>
      <w:r w:rsidRPr="00A75A74">
        <w:rPr>
          <w:rFonts w:cs="Arial"/>
          <w:iCs/>
          <w:szCs w:val="24"/>
        </w:rPr>
        <w:t>Inversores Fotovoltaicos</w:t>
      </w:r>
      <w:r w:rsidR="00A75A74" w:rsidRPr="00A75A74">
        <w:rPr>
          <w:rFonts w:cs="Arial"/>
          <w:iCs/>
          <w:szCs w:val="24"/>
        </w:rPr>
        <w:t xml:space="preserve">, </w:t>
      </w:r>
      <w:r w:rsidRPr="00A75A74">
        <w:rPr>
          <w:rFonts w:cs="Arial"/>
          <w:iCs/>
          <w:szCs w:val="24"/>
        </w:rPr>
        <w:t>Inversores de Baterías</w:t>
      </w:r>
      <w:r w:rsidR="00A75A74" w:rsidRPr="00A75A74">
        <w:rPr>
          <w:rFonts w:cs="Arial"/>
          <w:iCs/>
          <w:szCs w:val="24"/>
        </w:rPr>
        <w:t xml:space="preserve">, </w:t>
      </w:r>
      <w:r w:rsidRPr="00A75A74">
        <w:rPr>
          <w:rFonts w:cs="Arial"/>
          <w:iCs/>
          <w:szCs w:val="24"/>
        </w:rPr>
        <w:t>Inversores Micro-Eólicos</w:t>
      </w:r>
      <w:r w:rsidR="00A75A74" w:rsidRPr="00A75A74">
        <w:rPr>
          <w:rFonts w:cs="Arial"/>
          <w:iCs/>
          <w:szCs w:val="24"/>
        </w:rPr>
        <w:t xml:space="preserve">, </w:t>
      </w:r>
      <w:r w:rsidRPr="00A75A74">
        <w:rPr>
          <w:rFonts w:cs="Arial"/>
          <w:iCs/>
          <w:szCs w:val="24"/>
        </w:rPr>
        <w:t>Soluciones para gestionar la energía</w:t>
      </w:r>
      <w:r w:rsidR="00A75A74" w:rsidRPr="00A75A74">
        <w:rPr>
          <w:rFonts w:cs="Arial"/>
          <w:iCs/>
          <w:szCs w:val="24"/>
        </w:rPr>
        <w:t xml:space="preserve">, </w:t>
      </w:r>
      <w:r w:rsidRPr="00A75A74">
        <w:rPr>
          <w:rFonts w:cs="Arial"/>
          <w:iCs/>
          <w:szCs w:val="24"/>
        </w:rPr>
        <w:t>Soluciones Diésel-FV</w:t>
      </w:r>
      <w:r w:rsidR="00A75A74" w:rsidRPr="00A75A74">
        <w:rPr>
          <w:rFonts w:cs="Arial"/>
          <w:iCs/>
          <w:szCs w:val="24"/>
        </w:rPr>
        <w:t xml:space="preserve">, Accesorios, </w:t>
      </w:r>
      <w:r w:rsidRPr="00A75A74">
        <w:rPr>
          <w:rFonts w:cs="Arial"/>
          <w:iCs/>
          <w:szCs w:val="24"/>
        </w:rPr>
        <w:t>Repuestos</w:t>
      </w:r>
      <w:r w:rsidR="00A75A74" w:rsidRPr="00A75A74">
        <w:rPr>
          <w:rFonts w:cs="Arial"/>
          <w:iCs/>
          <w:szCs w:val="24"/>
        </w:rPr>
        <w:t xml:space="preserve">, </w:t>
      </w:r>
      <w:r w:rsidRPr="00A75A74">
        <w:rPr>
          <w:rFonts w:cs="Arial"/>
          <w:iCs/>
          <w:szCs w:val="24"/>
        </w:rPr>
        <w:t>UPS eólica (Uninterrupted Power Source)</w:t>
      </w:r>
      <w:r w:rsidR="00A75A74" w:rsidRPr="00A75A74">
        <w:rPr>
          <w:rFonts w:cs="Arial"/>
          <w:iCs/>
          <w:szCs w:val="24"/>
        </w:rPr>
        <w:t xml:space="preserve">, </w:t>
      </w:r>
      <w:r w:rsidRPr="00A75A74">
        <w:rPr>
          <w:rFonts w:cs="Arial"/>
          <w:iCs/>
          <w:szCs w:val="24"/>
        </w:rPr>
        <w:t>LOC Termosolar</w:t>
      </w:r>
      <w:r w:rsidR="00A75A74">
        <w:rPr>
          <w:rFonts w:cs="Arial"/>
          <w:iCs/>
          <w:szCs w:val="24"/>
        </w:rPr>
        <w:t xml:space="preserve"> y</w:t>
      </w:r>
      <w:r w:rsidR="00A75A74" w:rsidRPr="00A75A74">
        <w:rPr>
          <w:rFonts w:cs="Arial"/>
          <w:iCs/>
          <w:szCs w:val="24"/>
        </w:rPr>
        <w:t xml:space="preserve"> </w:t>
      </w:r>
      <w:r w:rsidRPr="00A75A74">
        <w:rPr>
          <w:rFonts w:cs="Arial"/>
          <w:iCs/>
          <w:szCs w:val="24"/>
        </w:rPr>
        <w:t>Productos Movilidad Eléctrica (cargadores VE)</w:t>
      </w:r>
      <w:r w:rsidR="00A75A74">
        <w:rPr>
          <w:rFonts w:cs="Arial"/>
          <w:iCs/>
          <w:szCs w:val="24"/>
        </w:rPr>
        <w:t>.</w:t>
      </w:r>
    </w:p>
    <w:p w:rsidR="00FF0857" w:rsidRPr="00A75A74" w:rsidRDefault="00FF0857" w:rsidP="00DA3CD8">
      <w:pPr>
        <w:jc w:val="both"/>
        <w:rPr>
          <w:rFonts w:cs="Arial"/>
          <w:iCs/>
          <w:szCs w:val="24"/>
        </w:rPr>
      </w:pPr>
    </w:p>
    <w:p w:rsidR="00D17765" w:rsidRDefault="00D17765" w:rsidP="00A75A74">
      <w:pPr>
        <w:jc w:val="both"/>
        <w:rPr>
          <w:rFonts w:cs="Arial"/>
          <w:iCs/>
          <w:szCs w:val="24"/>
        </w:rPr>
      </w:pPr>
      <w:r>
        <w:rPr>
          <w:rFonts w:cs="Arial"/>
          <w:iCs/>
          <w:szCs w:val="24"/>
        </w:rPr>
        <w:t>Todos los productos están categorizados de forma jerárquica en cuatro niveles:</w:t>
      </w:r>
    </w:p>
    <w:p w:rsidR="00A75A74" w:rsidRPr="00A75A74" w:rsidRDefault="00A75A74" w:rsidP="00A75A74">
      <w:pPr>
        <w:jc w:val="both"/>
        <w:rPr>
          <w:rFonts w:cs="Arial"/>
          <w:iCs/>
          <w:color w:val="FF0000"/>
          <w:szCs w:val="24"/>
        </w:rPr>
      </w:pPr>
    </w:p>
    <w:p w:rsidR="00D17765" w:rsidRPr="00A75A74" w:rsidRDefault="00D17765" w:rsidP="00D17765">
      <w:pPr>
        <w:ind w:left="1416"/>
        <w:jc w:val="both"/>
        <w:rPr>
          <w:rFonts w:cs="Arial"/>
          <w:b/>
          <w:iCs/>
          <w:color w:val="FF0000"/>
          <w:szCs w:val="24"/>
        </w:rPr>
      </w:pPr>
      <w:r w:rsidRPr="00A75A74">
        <w:rPr>
          <w:rFonts w:cs="Arial"/>
          <w:b/>
          <w:iCs/>
          <w:color w:val="FF0000"/>
          <w:szCs w:val="24"/>
        </w:rPr>
        <w:t>- Category</w:t>
      </w:r>
    </w:p>
    <w:p w:rsidR="00D17765" w:rsidRPr="00A75A74" w:rsidRDefault="00D17765" w:rsidP="00D17765">
      <w:pPr>
        <w:ind w:left="1416"/>
        <w:jc w:val="both"/>
        <w:rPr>
          <w:rFonts w:cs="Arial"/>
          <w:b/>
          <w:iCs/>
          <w:color w:val="FF0000"/>
          <w:szCs w:val="24"/>
        </w:rPr>
      </w:pPr>
      <w:r w:rsidRPr="00A75A74">
        <w:rPr>
          <w:rFonts w:cs="Arial"/>
          <w:b/>
          <w:iCs/>
          <w:color w:val="FF0000"/>
          <w:szCs w:val="24"/>
        </w:rPr>
        <w:tab/>
        <w:t>- Family</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t xml:space="preserve">- Series </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r>
      <w:r w:rsidRPr="00A75A74">
        <w:rPr>
          <w:rFonts w:cs="Arial"/>
          <w:b/>
          <w:iCs/>
          <w:color w:val="FF0000"/>
          <w:szCs w:val="24"/>
        </w:rPr>
        <w:tab/>
        <w:t>- Model</w:t>
      </w:r>
    </w:p>
    <w:p w:rsidR="00D17765" w:rsidRPr="00A75A74" w:rsidRDefault="00D17765" w:rsidP="00DA3CD8">
      <w:pPr>
        <w:jc w:val="both"/>
        <w:rPr>
          <w:rFonts w:cs="Arial"/>
          <w:iCs/>
          <w:color w:val="FF0000"/>
          <w:szCs w:val="24"/>
        </w:rPr>
      </w:pPr>
    </w:p>
    <w:p w:rsidR="00FF0857" w:rsidRDefault="00A75A74" w:rsidP="00DA3CD8">
      <w:pPr>
        <w:jc w:val="both"/>
        <w:rPr>
          <w:rFonts w:cs="Arial"/>
          <w:iCs/>
          <w:color w:val="FF0000"/>
          <w:szCs w:val="24"/>
        </w:rPr>
      </w:pPr>
      <w:r w:rsidRPr="00A75A74">
        <w:rPr>
          <w:rFonts w:cs="Arial"/>
          <w:iCs/>
          <w:color w:val="FF0000"/>
          <w:szCs w:val="24"/>
        </w:rPr>
        <w:t>¿Está todo aquí? Repuestos, Termosolar, VE, UPSs, Soluciones para gestionar la energía, Soluciones Diésel-FV, todos los accesorios</w:t>
      </w:r>
    </w:p>
    <w:p w:rsidR="003B131B" w:rsidRDefault="003B131B" w:rsidP="00DA3CD8">
      <w:pPr>
        <w:jc w:val="both"/>
        <w:rPr>
          <w:rFonts w:cs="Arial"/>
          <w:iCs/>
          <w:color w:val="FF0000"/>
          <w:szCs w:val="24"/>
        </w:rPr>
      </w:pPr>
    </w:p>
    <w:p w:rsidR="003B131B" w:rsidRPr="00A75A74" w:rsidRDefault="003B131B" w:rsidP="00DA3CD8">
      <w:pPr>
        <w:jc w:val="both"/>
        <w:rPr>
          <w:rFonts w:cs="Arial"/>
          <w:iCs/>
          <w:color w:val="FF0000"/>
          <w:szCs w:val="24"/>
        </w:rPr>
      </w:pPr>
      <w:r>
        <w:rPr>
          <w:rFonts w:cs="Arial"/>
          <w:iCs/>
          <w:color w:val="FF0000"/>
          <w:szCs w:val="24"/>
        </w:rPr>
        <w:t>Esta categorización también afectará a costes y márgenes.</w:t>
      </w:r>
    </w:p>
    <w:p w:rsidR="00FF0857" w:rsidRDefault="00FF0857" w:rsidP="00DA3CD8">
      <w:pPr>
        <w:jc w:val="both"/>
        <w:rPr>
          <w:rFonts w:cs="Arial"/>
          <w:iCs/>
          <w:szCs w:val="24"/>
        </w:rPr>
      </w:pPr>
    </w:p>
    <w:p w:rsidR="00C450B5" w:rsidRDefault="00C450B5" w:rsidP="00C450B5">
      <w:pPr>
        <w:jc w:val="both"/>
        <w:rPr>
          <w:rFonts w:cs="Arial"/>
          <w:iCs/>
          <w:szCs w:val="24"/>
        </w:rPr>
      </w:pPr>
    </w:p>
    <w:p w:rsidR="00D17765" w:rsidRDefault="00C450B5" w:rsidP="00C450B5">
      <w:pPr>
        <w:jc w:val="both"/>
        <w:rPr>
          <w:rFonts w:cs="Arial"/>
          <w:iCs/>
          <w:szCs w:val="24"/>
        </w:rPr>
      </w:pPr>
      <w:r>
        <w:rPr>
          <w:rFonts w:cs="Arial"/>
          <w:iCs/>
          <w:szCs w:val="24"/>
        </w:rPr>
        <w:t>Aparte de los productos, Ingeteam FV ofrece también servicios de tres clases: e</w:t>
      </w:r>
      <w:r w:rsidRPr="00C450B5">
        <w:rPr>
          <w:rFonts w:cs="Arial"/>
          <w:iCs/>
          <w:szCs w:val="24"/>
        </w:rPr>
        <w:t>xtensión de garantía</w:t>
      </w:r>
      <w:r>
        <w:rPr>
          <w:rFonts w:cs="Arial"/>
          <w:iCs/>
          <w:szCs w:val="24"/>
        </w:rPr>
        <w:t>, puestas</w:t>
      </w:r>
      <w:r w:rsidRPr="00C450B5">
        <w:rPr>
          <w:rFonts w:cs="Arial"/>
          <w:iCs/>
          <w:szCs w:val="24"/>
        </w:rPr>
        <w:t xml:space="preserve"> en marcha</w:t>
      </w:r>
      <w:r>
        <w:rPr>
          <w:rFonts w:cs="Arial"/>
          <w:iCs/>
          <w:szCs w:val="24"/>
        </w:rPr>
        <w:t xml:space="preserve"> y reparación en fábrica. Estas actuaciones se deben ver como servicios de valor añadido, acompañado siempre de una venta previa de producto.</w:t>
      </w:r>
    </w:p>
    <w:p w:rsidR="00C450B5" w:rsidRDefault="00C450B5" w:rsidP="00C450B5">
      <w:pPr>
        <w:jc w:val="both"/>
        <w:rPr>
          <w:rFonts w:cs="Arial"/>
          <w:iCs/>
          <w:szCs w:val="24"/>
        </w:rPr>
      </w:pPr>
    </w:p>
    <w:p w:rsidR="00E30B48" w:rsidRDefault="00E30B48">
      <w:pPr>
        <w:rPr>
          <w:rFonts w:cs="Arial"/>
          <w:iCs/>
          <w:szCs w:val="24"/>
        </w:rPr>
      </w:pPr>
    </w:p>
    <w:p w:rsidR="00C450B5" w:rsidRDefault="00C450B5">
      <w:pPr>
        <w:rPr>
          <w:rFonts w:cs="Arial"/>
          <w:iCs/>
          <w:szCs w:val="24"/>
        </w:rPr>
      </w:pPr>
    </w:p>
    <w:p w:rsidR="00BF5019" w:rsidRDefault="00BF5019">
      <w:pPr>
        <w:rPr>
          <w:rFonts w:cs="Arial"/>
          <w:iCs/>
          <w:szCs w:val="24"/>
        </w:rPr>
      </w:pPr>
      <w:r>
        <w:rPr>
          <w:rFonts w:cs="Arial"/>
          <w:iCs/>
          <w:szCs w:val="24"/>
        </w:rPr>
        <w:br w:type="page"/>
      </w:r>
    </w:p>
    <w:p w:rsidR="00C450B5" w:rsidRDefault="00C450B5">
      <w:pPr>
        <w:rPr>
          <w:rFonts w:cs="Arial"/>
          <w:iCs/>
          <w:szCs w:val="24"/>
        </w:rPr>
      </w:pPr>
    </w:p>
    <w:p w:rsidR="00DA3CD8" w:rsidRDefault="00DA3CD8" w:rsidP="00DA3CD8">
      <w:pPr>
        <w:jc w:val="both"/>
        <w:rPr>
          <w:rFonts w:cs="Arial"/>
          <w:iCs/>
          <w:szCs w:val="24"/>
        </w:rPr>
      </w:pPr>
    </w:p>
    <w:p w:rsidR="00DA3CD8" w:rsidRDefault="00DA3CD8" w:rsidP="00DA3CD8">
      <w:pPr>
        <w:pStyle w:val="Ttulo3"/>
      </w:pPr>
      <w:bookmarkStart w:id="8" w:name="_Toc414217430"/>
      <w:bookmarkStart w:id="9" w:name="_Toc416694175"/>
      <w:r>
        <w:t>Productos del Área Fotovoltaica</w:t>
      </w:r>
      <w:bookmarkEnd w:id="8"/>
      <w:bookmarkEnd w:id="9"/>
    </w:p>
    <w:p w:rsidR="00DA3CD8" w:rsidRDefault="00DA3CD8" w:rsidP="00DA3CD8">
      <w:pPr>
        <w:jc w:val="both"/>
        <w:rPr>
          <w:rFonts w:cs="Arial"/>
          <w:iCs/>
          <w:szCs w:val="24"/>
        </w:rPr>
      </w:pPr>
    </w:p>
    <w:p w:rsidR="00506C70" w:rsidRDefault="00506C70" w:rsidP="00DA3CD8">
      <w:pPr>
        <w:jc w:val="both"/>
        <w:rPr>
          <w:rFonts w:cs="Arial"/>
          <w:iCs/>
          <w:szCs w:val="24"/>
        </w:rPr>
      </w:pPr>
      <w:r>
        <w:rPr>
          <w:rFonts w:cs="Arial"/>
          <w:iCs/>
          <w:szCs w:val="24"/>
        </w:rPr>
        <w:t>Los productos están identificados con dos códigos</w:t>
      </w:r>
      <w:r w:rsidR="00F21043">
        <w:rPr>
          <w:rFonts w:cs="Arial"/>
          <w:iCs/>
          <w:szCs w:val="24"/>
        </w:rPr>
        <w:t xml:space="preserve"> principales</w:t>
      </w:r>
      <w:r>
        <w:rPr>
          <w:rFonts w:cs="Arial"/>
          <w:iCs/>
          <w:szCs w:val="24"/>
        </w:rPr>
        <w:t>:</w:t>
      </w:r>
    </w:p>
    <w:p w:rsidR="00506C70" w:rsidRDefault="00506C70" w:rsidP="00DA3CD8">
      <w:pPr>
        <w:jc w:val="both"/>
        <w:rPr>
          <w:rFonts w:cs="Arial"/>
          <w:iCs/>
          <w:szCs w:val="24"/>
        </w:rPr>
      </w:pPr>
      <w:r>
        <w:rPr>
          <w:rFonts w:cs="Arial"/>
          <w:iCs/>
          <w:szCs w:val="24"/>
        </w:rPr>
        <w:t xml:space="preserve">- Código SAP - </w:t>
      </w:r>
    </w:p>
    <w:p w:rsidR="00506C70" w:rsidRDefault="00506C70" w:rsidP="00DA3CD8">
      <w:pPr>
        <w:jc w:val="both"/>
        <w:rPr>
          <w:rFonts w:cs="Arial"/>
          <w:iCs/>
          <w:szCs w:val="24"/>
        </w:rPr>
      </w:pPr>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sidRPr="00506C70">
        <w:rPr>
          <w:rFonts w:cs="Arial"/>
          <w:b/>
          <w:iCs/>
          <w:szCs w:val="24"/>
        </w:rPr>
        <w:t>Configurador de Productos</w:t>
      </w:r>
      <w:r>
        <w:rPr>
          <w:rFonts w:cs="Arial"/>
          <w:iCs/>
          <w:szCs w:val="24"/>
        </w:rPr>
        <w:t>.</w:t>
      </w:r>
    </w:p>
    <w:p w:rsidR="00506C70" w:rsidRDefault="00506C70" w:rsidP="00DA3CD8">
      <w:pPr>
        <w:jc w:val="both"/>
        <w:rPr>
          <w:rFonts w:cs="Arial"/>
          <w:iCs/>
          <w:szCs w:val="24"/>
        </w:rPr>
      </w:pPr>
    </w:p>
    <w:p w:rsidR="00506C70" w:rsidRDefault="00506C70" w:rsidP="00DA3CD8">
      <w:pPr>
        <w:jc w:val="both"/>
        <w:rPr>
          <w:rFonts w:cs="Arial"/>
          <w:iCs/>
          <w:szCs w:val="24"/>
        </w:rPr>
      </w:pPr>
      <w:r>
        <w:rPr>
          <w:rFonts w:cs="Arial"/>
          <w:iCs/>
          <w:szCs w:val="24"/>
        </w:rPr>
        <w:t xml:space="preserve">Además, los productos tendrán </w:t>
      </w:r>
      <w:r w:rsidR="00F21043">
        <w:rPr>
          <w:rFonts w:cs="Arial"/>
          <w:iCs/>
          <w:szCs w:val="24"/>
        </w:rPr>
        <w:t xml:space="preserve">una serie de campos que permitirán hacer búsquedas de texto libre: </w:t>
      </w:r>
    </w:p>
    <w:p w:rsidR="00F21043" w:rsidRDefault="00F21043" w:rsidP="00DA3CD8">
      <w:pPr>
        <w:jc w:val="both"/>
        <w:rPr>
          <w:rFonts w:cs="Arial"/>
          <w:iCs/>
          <w:szCs w:val="24"/>
        </w:rPr>
      </w:pPr>
      <w:r>
        <w:rPr>
          <w:rFonts w:cs="Arial"/>
          <w:iCs/>
          <w:szCs w:val="24"/>
        </w:rPr>
        <w:t>- campos de descripción</w:t>
      </w:r>
    </w:p>
    <w:p w:rsidR="00F21043" w:rsidRDefault="00F21043" w:rsidP="00F21043">
      <w:pPr>
        <w:jc w:val="both"/>
        <w:rPr>
          <w:rFonts w:cs="Arial"/>
          <w:iCs/>
          <w:szCs w:val="24"/>
        </w:rPr>
      </w:pPr>
      <w:r>
        <w:rPr>
          <w:rFonts w:cs="Arial"/>
          <w:iCs/>
          <w:szCs w:val="24"/>
        </w:rPr>
        <w:t xml:space="preserve">- campos jerárquicos de categorización: </w:t>
      </w:r>
      <w:r w:rsidRPr="00F21043">
        <w:rPr>
          <w:rFonts w:cs="Arial"/>
          <w:iCs/>
          <w:szCs w:val="24"/>
        </w:rPr>
        <w:t>Category</w:t>
      </w:r>
      <w:r>
        <w:rPr>
          <w:rFonts w:cs="Arial"/>
          <w:iCs/>
          <w:szCs w:val="24"/>
        </w:rPr>
        <w:t xml:space="preserve">, </w:t>
      </w:r>
      <w:r w:rsidRPr="00F21043">
        <w:rPr>
          <w:rFonts w:cs="Arial"/>
          <w:iCs/>
          <w:szCs w:val="24"/>
        </w:rPr>
        <w:t>Family</w:t>
      </w:r>
      <w:r>
        <w:rPr>
          <w:rFonts w:cs="Arial"/>
          <w:iCs/>
          <w:szCs w:val="24"/>
        </w:rPr>
        <w:t xml:space="preserve">, </w:t>
      </w:r>
      <w:r w:rsidRPr="00F21043">
        <w:rPr>
          <w:rFonts w:cs="Arial"/>
          <w:iCs/>
          <w:szCs w:val="24"/>
        </w:rPr>
        <w:t xml:space="preserve">Series </w:t>
      </w:r>
      <w:r>
        <w:rPr>
          <w:rFonts w:cs="Arial"/>
          <w:iCs/>
          <w:szCs w:val="24"/>
        </w:rPr>
        <w:t xml:space="preserve">y </w:t>
      </w:r>
      <w:r w:rsidRPr="00F21043">
        <w:rPr>
          <w:rFonts w:cs="Arial"/>
          <w:iCs/>
          <w:szCs w:val="24"/>
        </w:rPr>
        <w:t>Model</w:t>
      </w:r>
    </w:p>
    <w:p w:rsidR="00506C70" w:rsidRDefault="00506C70" w:rsidP="00DA3CD8">
      <w:pPr>
        <w:jc w:val="both"/>
        <w:rPr>
          <w:rFonts w:cs="Arial"/>
          <w:iCs/>
          <w:szCs w:val="24"/>
        </w:rPr>
      </w:pPr>
    </w:p>
    <w:p w:rsidR="00506C70" w:rsidRDefault="00506C70" w:rsidP="00DA3CD8">
      <w:pPr>
        <w:jc w:val="both"/>
        <w:rPr>
          <w:rFonts w:cs="Arial"/>
          <w:iCs/>
          <w:szCs w:val="24"/>
        </w:rPr>
      </w:pPr>
    </w:p>
    <w:p w:rsidR="00506C70" w:rsidRPr="00BF5019" w:rsidRDefault="00506C70" w:rsidP="00506C70">
      <w:pPr>
        <w:jc w:val="both"/>
        <w:rPr>
          <w:rFonts w:cs="Arial"/>
          <w:iCs/>
          <w:color w:val="FF0000"/>
          <w:szCs w:val="24"/>
        </w:rPr>
      </w:pPr>
      <w:r w:rsidRPr="00BF5019">
        <w:rPr>
          <w:rFonts w:cs="Arial"/>
          <w:iCs/>
          <w:color w:val="FF0000"/>
          <w:szCs w:val="24"/>
        </w:rPr>
        <w:t>Buscador de productos</w:t>
      </w:r>
      <w:r>
        <w:rPr>
          <w:rFonts w:cs="Arial"/>
          <w:iCs/>
          <w:color w:val="FF0000"/>
          <w:szCs w:val="24"/>
        </w:rPr>
        <w:t xml:space="preserve"> (para la elaboración de ofertas)</w:t>
      </w:r>
      <w:r w:rsidRPr="00BF5019">
        <w:rPr>
          <w:rFonts w:cs="Arial"/>
          <w:iCs/>
          <w:color w:val="FF0000"/>
          <w:szCs w:val="24"/>
        </w:rPr>
        <w:t>:</w:t>
      </w:r>
    </w:p>
    <w:p w:rsidR="00506C70" w:rsidRPr="00BF5019" w:rsidRDefault="00506C70" w:rsidP="00506C70">
      <w:pPr>
        <w:jc w:val="both"/>
        <w:rPr>
          <w:rFonts w:cs="Arial"/>
          <w:iCs/>
          <w:color w:val="FF0000"/>
          <w:szCs w:val="24"/>
        </w:rPr>
      </w:pPr>
      <w:r w:rsidRPr="00BF5019">
        <w:rPr>
          <w:rFonts w:cs="Arial"/>
          <w:iCs/>
          <w:color w:val="FF0000"/>
          <w:szCs w:val="24"/>
        </w:rPr>
        <w:t>- Código 25</w:t>
      </w:r>
      <w:r>
        <w:rPr>
          <w:rFonts w:cs="Arial"/>
          <w:iCs/>
          <w:color w:val="FF0000"/>
          <w:szCs w:val="24"/>
        </w:rPr>
        <w:t xml:space="preserve"> - &gt; si no tiene código SAP, tiene dos opciones para crear una oferta: a) solicitar un código 25 (que se creará en SAP), o abrir una línea en blanco para incluir en la oferta un producto con descripción y precios libres, bajo la responsabilidad del comercial.</w:t>
      </w:r>
    </w:p>
    <w:p w:rsidR="00506C70" w:rsidRPr="00BF5019" w:rsidRDefault="00506C70" w:rsidP="00506C70">
      <w:pPr>
        <w:jc w:val="both"/>
        <w:rPr>
          <w:rFonts w:cs="Arial"/>
          <w:iCs/>
          <w:color w:val="FF0000"/>
          <w:szCs w:val="24"/>
        </w:rPr>
      </w:pPr>
      <w:r w:rsidRPr="00BF5019">
        <w:rPr>
          <w:rFonts w:cs="Arial"/>
          <w:iCs/>
          <w:color w:val="FF0000"/>
          <w:szCs w:val="24"/>
        </w:rPr>
        <w:t>- Jerarquía</w:t>
      </w:r>
    </w:p>
    <w:p w:rsidR="00506C70" w:rsidRDefault="00506C70" w:rsidP="00506C70">
      <w:pPr>
        <w:jc w:val="both"/>
        <w:rPr>
          <w:rFonts w:cs="Arial"/>
          <w:iCs/>
          <w:color w:val="FF0000"/>
          <w:szCs w:val="24"/>
        </w:rPr>
      </w:pPr>
      <w:r w:rsidRPr="00BF5019">
        <w:rPr>
          <w:rFonts w:cs="Arial"/>
          <w:iCs/>
          <w:color w:val="FF0000"/>
          <w:szCs w:val="24"/>
        </w:rPr>
        <w:t>- Código SAP</w:t>
      </w:r>
    </w:p>
    <w:p w:rsidR="00506C70" w:rsidRDefault="00506C70" w:rsidP="00506C70">
      <w:pPr>
        <w:jc w:val="both"/>
        <w:rPr>
          <w:rFonts w:cs="Arial"/>
          <w:iCs/>
          <w:color w:val="FF0000"/>
          <w:szCs w:val="24"/>
        </w:rPr>
      </w:pPr>
      <w:r w:rsidRPr="00BF5019">
        <w:rPr>
          <w:rFonts w:cs="Arial"/>
          <w:iCs/>
          <w:color w:val="FF0000"/>
          <w:szCs w:val="24"/>
        </w:rPr>
        <w:t xml:space="preserve">- </w:t>
      </w:r>
      <w:r>
        <w:rPr>
          <w:rFonts w:cs="Arial"/>
          <w:iCs/>
          <w:color w:val="FF0000"/>
          <w:szCs w:val="24"/>
        </w:rPr>
        <w:t xml:space="preserve">por </w:t>
      </w:r>
      <w:r w:rsidRPr="00BF5019">
        <w:rPr>
          <w:rFonts w:cs="Arial"/>
          <w:iCs/>
          <w:color w:val="FF0000"/>
          <w:szCs w:val="24"/>
        </w:rPr>
        <w:t>Texto (nombre del producto)</w:t>
      </w:r>
    </w:p>
    <w:p w:rsidR="00506C70" w:rsidRDefault="00506C70" w:rsidP="00506C70">
      <w:pPr>
        <w:jc w:val="both"/>
        <w:rPr>
          <w:rFonts w:cs="Arial"/>
          <w:iCs/>
          <w:color w:val="FF0000"/>
          <w:szCs w:val="24"/>
        </w:rPr>
      </w:pPr>
      <w:r>
        <w:rPr>
          <w:rFonts w:cs="Arial"/>
          <w:iCs/>
          <w:color w:val="FF0000"/>
          <w:szCs w:val="24"/>
        </w:rPr>
        <w:t>- Número de oferta (te presenta todos los productos y servicios de esa oferta, y te permite seleccionar 1 o varios de esa oferta)</w:t>
      </w:r>
    </w:p>
    <w:p w:rsidR="00506C70" w:rsidRDefault="00506C70" w:rsidP="00506C70">
      <w:pPr>
        <w:jc w:val="both"/>
        <w:rPr>
          <w:rFonts w:cs="Arial"/>
          <w:iCs/>
          <w:color w:val="FF0000"/>
          <w:szCs w:val="24"/>
        </w:rPr>
      </w:pPr>
    </w:p>
    <w:p w:rsidR="00506C70" w:rsidRDefault="00506C70" w:rsidP="00506C70">
      <w:pPr>
        <w:jc w:val="both"/>
        <w:rPr>
          <w:rFonts w:cs="Arial"/>
          <w:iCs/>
          <w:color w:val="FF0000"/>
          <w:szCs w:val="24"/>
        </w:rPr>
      </w:pPr>
      <w:r>
        <w:rPr>
          <w:rFonts w:cs="Arial"/>
          <w:iCs/>
          <w:color w:val="FF0000"/>
          <w:szCs w:val="24"/>
        </w:rPr>
        <w:t xml:space="preserve">Además, existirá de un </w:t>
      </w:r>
      <w:r w:rsidRPr="009E2EB9">
        <w:rPr>
          <w:rFonts w:cs="Arial"/>
          <w:b/>
          <w:iCs/>
          <w:color w:val="FF0000"/>
          <w:szCs w:val="24"/>
        </w:rPr>
        <w:t>Configurador</w:t>
      </w:r>
      <w:r>
        <w:rPr>
          <w:rFonts w:cs="Arial"/>
          <w:b/>
          <w:iCs/>
          <w:color w:val="FF0000"/>
          <w:szCs w:val="24"/>
        </w:rPr>
        <w:t xml:space="preserve"> de Productos</w:t>
      </w:r>
      <w:r>
        <w:rPr>
          <w:rFonts w:cs="Arial"/>
          <w:iCs/>
          <w:color w:val="FF0000"/>
          <w:szCs w:val="24"/>
        </w:rPr>
        <w:t xml:space="preserve"> para los productos configurables.</w:t>
      </w:r>
      <w:r w:rsidR="00CE3BBD">
        <w:rPr>
          <w:rFonts w:cs="Arial"/>
          <w:iCs/>
          <w:color w:val="FF0000"/>
          <w:szCs w:val="24"/>
        </w:rPr>
        <w:t xml:space="preserve"> Hoy día se utiliza la Excel de Código 25 (AAA0017 IKG01)</w:t>
      </w:r>
      <w:r w:rsidR="009D16AC">
        <w:rPr>
          <w:rFonts w:cs="Arial"/>
          <w:iCs/>
          <w:color w:val="FF0000"/>
          <w:szCs w:val="24"/>
        </w:rPr>
        <w:t>. Utilizando este configurador</w:t>
      </w:r>
    </w:p>
    <w:p w:rsidR="009D16AC" w:rsidRDefault="009D16AC" w:rsidP="00506C70">
      <w:pPr>
        <w:jc w:val="both"/>
        <w:rPr>
          <w:rFonts w:cs="Arial"/>
          <w:iCs/>
          <w:color w:val="FF0000"/>
          <w:szCs w:val="24"/>
        </w:rPr>
      </w:pPr>
      <w:r>
        <w:rPr>
          <w:rFonts w:cs="Arial"/>
          <w:iCs/>
          <w:color w:val="FF0000"/>
          <w:szCs w:val="24"/>
        </w:rPr>
        <w:t>Este configurador tiene modificaciones habituales. Responsable: Marcos Elcuaz.</w:t>
      </w:r>
    </w:p>
    <w:p w:rsidR="009D16AC" w:rsidRDefault="009D16AC" w:rsidP="00506C70">
      <w:pPr>
        <w:jc w:val="both"/>
        <w:rPr>
          <w:rFonts w:cs="Arial"/>
          <w:iCs/>
          <w:color w:val="FF0000"/>
          <w:szCs w:val="24"/>
        </w:rPr>
      </w:pPr>
    </w:p>
    <w:p w:rsidR="009D16AC" w:rsidRDefault="009D16AC" w:rsidP="00506C70">
      <w:pPr>
        <w:jc w:val="both"/>
        <w:rPr>
          <w:rFonts w:cs="Arial"/>
          <w:iCs/>
          <w:color w:val="FF0000"/>
          <w:szCs w:val="24"/>
        </w:rPr>
      </w:pPr>
    </w:p>
    <w:p w:rsidR="00CE3BBD" w:rsidRDefault="00CE3BBD" w:rsidP="00506C70">
      <w:pPr>
        <w:jc w:val="both"/>
        <w:rPr>
          <w:rFonts w:cs="Arial"/>
          <w:iCs/>
          <w:color w:val="FF0000"/>
          <w:szCs w:val="24"/>
        </w:rPr>
      </w:pPr>
    </w:p>
    <w:p w:rsidR="00506C70" w:rsidRDefault="00506C70" w:rsidP="00DA3CD8">
      <w:pPr>
        <w:jc w:val="both"/>
        <w:rPr>
          <w:rFonts w:cs="Arial"/>
          <w:iCs/>
          <w:szCs w:val="24"/>
        </w:rPr>
      </w:pPr>
    </w:p>
    <w:p w:rsidR="00D81FEC" w:rsidRDefault="00D81FEC">
      <w:pPr>
        <w:rPr>
          <w:rFonts w:cs="Arial"/>
          <w:iCs/>
          <w:color w:val="833C0B" w:themeColor="accent2" w:themeShade="80"/>
          <w:szCs w:val="24"/>
        </w:rPr>
      </w:pPr>
      <w:r>
        <w:rPr>
          <w:rFonts w:cs="Arial"/>
          <w:iCs/>
          <w:color w:val="833C0B" w:themeColor="accent2" w:themeShade="80"/>
          <w:szCs w:val="24"/>
        </w:rPr>
        <w:br w:type="page"/>
      </w:r>
    </w:p>
    <w:p w:rsidR="00506C70" w:rsidRDefault="00506C70" w:rsidP="00DA3CD8">
      <w:pPr>
        <w:jc w:val="both"/>
        <w:rPr>
          <w:rFonts w:cs="Arial"/>
          <w:iCs/>
          <w:szCs w:val="24"/>
        </w:rPr>
      </w:pPr>
    </w:p>
    <w:p w:rsidR="00DA3CD8" w:rsidRDefault="00FD1D20" w:rsidP="00DA3CD8">
      <w:pPr>
        <w:jc w:val="both"/>
        <w:rPr>
          <w:rFonts w:cs="Arial"/>
          <w:iCs/>
          <w:szCs w:val="24"/>
        </w:rPr>
      </w:pPr>
      <w:r>
        <w:rPr>
          <w:rFonts w:cs="Arial"/>
          <w:iCs/>
          <w:szCs w:val="24"/>
        </w:rPr>
        <w:t>Lo productos se clasifican en las siguientes Categorías:</w:t>
      </w:r>
    </w:p>
    <w:p w:rsidR="00FD1D20" w:rsidRDefault="00FD1D20" w:rsidP="00DA3CD8">
      <w:pPr>
        <w:jc w:val="both"/>
        <w:rPr>
          <w:rFonts w:cs="Arial"/>
          <w:iCs/>
          <w:szCs w:val="24"/>
        </w:rPr>
      </w:pPr>
    </w:p>
    <w:tbl>
      <w:tblPr>
        <w:tblW w:w="7670" w:type="dxa"/>
        <w:tblInd w:w="55" w:type="dxa"/>
        <w:tblCellMar>
          <w:left w:w="70" w:type="dxa"/>
          <w:right w:w="70" w:type="dxa"/>
        </w:tblCellMar>
        <w:tblLook w:val="04A0" w:firstRow="1" w:lastRow="0" w:firstColumn="1" w:lastColumn="0" w:noHBand="0" w:noVBand="1"/>
      </w:tblPr>
      <w:tblGrid>
        <w:gridCol w:w="1200"/>
        <w:gridCol w:w="6470"/>
      </w:tblGrid>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E34217" w:rsidRPr="00BE4E2F" w:rsidRDefault="00E34217" w:rsidP="00E34217">
            <w:pPr>
              <w:rPr>
                <w:rFonts w:ascii="Calibri" w:eastAsia="Times New Roman" w:hAnsi="Calibri"/>
                <w:color w:val="000000"/>
                <w:sz w:val="22"/>
                <w:lang w:val="en-US" w:eastAsia="es-ES"/>
              </w:rPr>
            </w:pPr>
            <w:r w:rsidRPr="00BE4E2F">
              <w:rPr>
                <w:rFonts w:ascii="Calibri" w:eastAsia="Times New Roman" w:hAnsi="Calibri"/>
                <w:color w:val="000000"/>
                <w:sz w:val="22"/>
                <w:lang w:val="en-US" w:eastAsia="es-ES"/>
              </w:rPr>
              <w:t>INGECON SUN LOC TERMOSOLAR</w:t>
            </w:r>
          </w:p>
          <w:p w:rsidR="003654A3" w:rsidRPr="00BE4E2F" w:rsidRDefault="003654A3" w:rsidP="00E34217">
            <w:pPr>
              <w:rPr>
                <w:rFonts w:ascii="Calibri" w:eastAsia="Times New Roman" w:hAnsi="Calibri"/>
                <w:color w:val="000000"/>
                <w:sz w:val="22"/>
                <w:lang w:val="en-US" w:eastAsia="es-ES"/>
              </w:rPr>
            </w:pPr>
            <w:r w:rsidRPr="00BE4E2F">
              <w:rPr>
                <w:rFonts w:ascii="Calibri" w:eastAsia="Times New Roman" w:hAnsi="Calibri"/>
                <w:color w:val="FF0000"/>
                <w:sz w:val="22"/>
                <w:lang w:val="en-US" w:eastAsia="es-ES"/>
              </w:rPr>
              <w:t>PowerStation (Category?)</w:t>
            </w:r>
          </w:p>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803136" w:rsidP="00EB1384">
            <w:pPr>
              <w:rPr>
                <w:rFonts w:ascii="Calibri" w:eastAsia="Times New Roman" w:hAnsi="Calibri"/>
                <w:color w:val="000000"/>
                <w:sz w:val="22"/>
                <w:lang w:eastAsia="es-ES"/>
              </w:rPr>
            </w:pPr>
            <w:r w:rsidRPr="00C450B5">
              <w:rPr>
                <w:rFonts w:ascii="Calibri" w:eastAsia="Times New Roman" w:hAnsi="Calibri"/>
                <w:b/>
                <w:bCs/>
                <w:color w:val="000000"/>
                <w:sz w:val="22"/>
                <w:lang w:eastAsia="es-ES"/>
              </w:rPr>
              <w:t>FAMILY</w:t>
            </w:r>
          </w:p>
        </w:tc>
        <w:tc>
          <w:tcPr>
            <w:tcW w:w="6470" w:type="dxa"/>
            <w:tcBorders>
              <w:top w:val="nil"/>
              <w:left w:val="nil"/>
              <w:bottom w:val="nil"/>
              <w:right w:val="nil"/>
            </w:tcBorders>
            <w:shd w:val="clear" w:color="auto" w:fill="auto"/>
            <w:noWrap/>
            <w:vAlign w:val="bottom"/>
            <w:hideMark/>
          </w:tcPr>
          <w:p w:rsidR="00FD1D20"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INGER</w:t>
            </w:r>
            <w:r w:rsidRPr="00D81FEC">
              <w:rPr>
                <w:rFonts w:ascii="Calibri" w:eastAsia="Times New Roman" w:hAnsi="Calibri"/>
                <w:color w:val="000000"/>
                <w:sz w:val="22"/>
                <w:lang w:eastAsia="es-ES"/>
              </w:rPr>
              <w:t>EV</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UPS</w:t>
            </w:r>
          </w:p>
          <w:p w:rsidR="00D81FEC" w:rsidRDefault="00D81FEC" w:rsidP="00EB1384">
            <w:pPr>
              <w:rPr>
                <w:rFonts w:ascii="Calibri" w:eastAsia="Times New Roman" w:hAnsi="Calibri"/>
                <w:color w:val="000000"/>
                <w:sz w:val="22"/>
                <w:lang w:eastAsia="es-ES"/>
              </w:rPr>
            </w:pPr>
            <w:r>
              <w:rPr>
                <w:rFonts w:ascii="Calibri" w:eastAsia="Times New Roman" w:hAnsi="Calibri"/>
                <w:color w:val="000000"/>
                <w:sz w:val="22"/>
                <w:lang w:eastAsia="es-ES"/>
              </w:rPr>
              <w:t>ACCESORIOS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REPUESTOS</w:t>
            </w:r>
          </w:p>
          <w:p w:rsidR="00615BB5" w:rsidRPr="00D81FEC" w:rsidRDefault="00615BB5" w:rsidP="00EB1384">
            <w:pPr>
              <w:rPr>
                <w:rFonts w:ascii="Calibri" w:eastAsia="Times New Roman" w:hAnsi="Calibri"/>
                <w:color w:val="000000"/>
                <w:sz w:val="22"/>
                <w:lang w:eastAsia="es-ES"/>
              </w:rPr>
            </w:pPr>
            <w:r>
              <w:rPr>
                <w:rFonts w:ascii="Calibri" w:eastAsia="Times New Roman" w:hAnsi="Calibri"/>
                <w:color w:val="000000"/>
                <w:sz w:val="22"/>
                <w:lang w:eastAsia="es-ES"/>
              </w:rPr>
              <w:t>Servicios</w:t>
            </w:r>
          </w:p>
          <w:p w:rsidR="00FD1D20" w:rsidRPr="00C450B5" w:rsidRDefault="00803136" w:rsidP="00EB1384">
            <w:pPr>
              <w:rPr>
                <w:rFonts w:ascii="Calibri" w:eastAsia="Times New Roman" w:hAnsi="Calibri"/>
                <w:color w:val="000000"/>
                <w:sz w:val="22"/>
                <w:lang w:eastAsia="es-ES"/>
              </w:rPr>
            </w:pPr>
            <w:r w:rsidRPr="00FD1D20">
              <w:rPr>
                <w:rFonts w:cs="Arial"/>
                <w:iCs/>
                <w:color w:val="833C0B" w:themeColor="accent2" w:themeShade="80"/>
                <w:szCs w:val="24"/>
              </w:rPr>
              <w:t>Soluciones Diésel-FV</w:t>
            </w:r>
            <w:r>
              <w:rPr>
                <w:rFonts w:cs="Arial"/>
                <w:iCs/>
                <w:color w:val="833C0B" w:themeColor="accent2" w:themeShade="80"/>
                <w:szCs w:val="24"/>
              </w:rPr>
              <w:t xml:space="preserve">: Batímetros: </w:t>
            </w:r>
            <w:r w:rsidRPr="00803136">
              <w:rPr>
                <w:rFonts w:cs="Arial"/>
                <w:iCs/>
                <w:szCs w:val="24"/>
              </w:rPr>
              <w:t>Powermeter</w:t>
            </w:r>
          </w:p>
        </w:tc>
      </w:tr>
      <w:tr w:rsidR="00D81FEC" w:rsidRPr="00C450B5" w:rsidTr="00D81FEC">
        <w:trPr>
          <w:trHeight w:val="300"/>
        </w:trPr>
        <w:tc>
          <w:tcPr>
            <w:tcW w:w="1200" w:type="dxa"/>
            <w:tcBorders>
              <w:top w:val="nil"/>
              <w:left w:val="nil"/>
              <w:bottom w:val="nil"/>
              <w:right w:val="nil"/>
            </w:tcBorders>
            <w:shd w:val="clear" w:color="auto" w:fill="auto"/>
            <w:noWrap/>
            <w:vAlign w:val="bottom"/>
          </w:tcPr>
          <w:p w:rsidR="00D81FEC" w:rsidRDefault="00D81FEC" w:rsidP="00EB1384">
            <w:pPr>
              <w:rPr>
                <w:rFonts w:ascii="Calibri" w:eastAsia="Times New Roman" w:hAnsi="Calibri"/>
                <w:b/>
                <w:bCs/>
                <w:color w:val="000000"/>
                <w:sz w:val="22"/>
                <w:lang w:eastAsia="es-ES"/>
              </w:rPr>
            </w:pPr>
          </w:p>
        </w:tc>
        <w:tc>
          <w:tcPr>
            <w:tcW w:w="6470" w:type="dxa"/>
            <w:tcBorders>
              <w:top w:val="nil"/>
              <w:left w:val="nil"/>
              <w:bottom w:val="nil"/>
              <w:right w:val="nil"/>
            </w:tcBorders>
            <w:shd w:val="clear" w:color="auto" w:fill="auto"/>
            <w:noWrap/>
            <w:vAlign w:val="bottom"/>
          </w:tcPr>
          <w:p w:rsidR="00D81FEC" w:rsidRDefault="00D81FEC" w:rsidP="00EB1384">
            <w:pPr>
              <w:rPr>
                <w:rFonts w:cs="Arial"/>
                <w:iCs/>
                <w:color w:val="833C0B" w:themeColor="accent2" w:themeShade="80"/>
                <w:szCs w:val="24"/>
              </w:rPr>
            </w:pPr>
            <w:r w:rsidRPr="00FD1D20">
              <w:rPr>
                <w:rFonts w:cs="Arial"/>
                <w:iCs/>
                <w:color w:val="833C0B" w:themeColor="accent2" w:themeShade="80"/>
                <w:szCs w:val="24"/>
              </w:rPr>
              <w:t>Accesorios</w:t>
            </w:r>
            <w:r w:rsidR="00615BB5">
              <w:rPr>
                <w:rFonts w:cs="Arial"/>
                <w:iCs/>
                <w:color w:val="833C0B" w:themeColor="accent2" w:themeShade="80"/>
                <w:szCs w:val="24"/>
              </w:rPr>
              <w:t xml:space="preserve">: </w:t>
            </w:r>
            <w:r w:rsidR="00615BB5">
              <w:rPr>
                <w:rFonts w:ascii="Calibri" w:eastAsia="Times New Roman" w:hAnsi="Calibri"/>
                <w:color w:val="000000"/>
                <w:sz w:val="22"/>
                <w:lang w:eastAsia="es-ES"/>
              </w:rPr>
              <w:t>de comunicaciones: INGECON COMM, ComboBox, Powermeter</w:t>
            </w:r>
            <w:r w:rsidR="005737FC">
              <w:rPr>
                <w:rFonts w:ascii="Calibri" w:eastAsia="Times New Roman" w:hAnsi="Calibri"/>
                <w:color w:val="000000"/>
                <w:sz w:val="22"/>
                <w:lang w:eastAsia="es-ES"/>
              </w:rPr>
              <w:t>, Kits</w:t>
            </w:r>
            <w:r w:rsidR="008117D1">
              <w:rPr>
                <w:rFonts w:ascii="Calibri" w:eastAsia="Times New Roman" w:hAnsi="Calibri"/>
                <w:color w:val="000000"/>
                <w:sz w:val="22"/>
                <w:lang w:eastAsia="es-ES"/>
              </w:rPr>
              <w:t>, combiner box UL</w:t>
            </w:r>
            <w:r>
              <w:rPr>
                <w:rFonts w:cs="Arial"/>
                <w:iCs/>
                <w:color w:val="833C0B" w:themeColor="accent2" w:themeShade="80"/>
                <w:szCs w:val="24"/>
              </w:rPr>
              <w:t>)</w:t>
            </w:r>
          </w:p>
          <w:p w:rsidR="00C42B7A" w:rsidRPr="00C450B5" w:rsidRDefault="00C42B7A" w:rsidP="00EB1384">
            <w:pPr>
              <w:rPr>
                <w:rFonts w:ascii="Calibri" w:eastAsia="Times New Roman" w:hAnsi="Calibri"/>
                <w:color w:val="000000"/>
                <w:sz w:val="22"/>
                <w:lang w:eastAsia="es-ES"/>
              </w:rPr>
            </w:pPr>
            <w:r>
              <w:rPr>
                <w:rFonts w:cs="Arial"/>
                <w:iCs/>
                <w:color w:val="833C0B" w:themeColor="accent2" w:themeShade="80"/>
                <w:szCs w:val="24"/>
              </w:rPr>
              <w:t>INGECOM EMS</w:t>
            </w:r>
            <w:r w:rsidR="00F02D56">
              <w:rPr>
                <w:rFonts w:cs="Arial"/>
                <w:iCs/>
                <w:color w:val="833C0B" w:themeColor="accent2" w:themeShade="80"/>
                <w:szCs w:val="24"/>
              </w:rPr>
              <w:t xml:space="preserve"> (ACCESORIOS?)</w:t>
            </w:r>
            <w:r>
              <w:rPr>
                <w:rFonts w:cs="Arial"/>
                <w:iCs/>
                <w:color w:val="833C0B" w:themeColor="accent2" w:themeShade="80"/>
                <w:szCs w:val="24"/>
              </w:rPr>
              <w:t xml:space="preserve"> / SCADA</w:t>
            </w:r>
          </w:p>
        </w:tc>
      </w:tr>
      <w:tr w:rsidR="00803136" w:rsidRPr="00C450B5" w:rsidTr="00D81FEC">
        <w:trPr>
          <w:trHeight w:val="300"/>
        </w:trPr>
        <w:tc>
          <w:tcPr>
            <w:tcW w:w="120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b/>
                <w:bCs/>
                <w:color w:val="000000"/>
                <w:sz w:val="22"/>
                <w:lang w:eastAsia="es-ES"/>
              </w:rPr>
            </w:pPr>
            <w:r>
              <w:rPr>
                <w:rFonts w:ascii="Calibri" w:eastAsia="Times New Roman" w:hAnsi="Calibri"/>
                <w:b/>
                <w:bCs/>
                <w:color w:val="000000"/>
                <w:sz w:val="22"/>
                <w:lang w:eastAsia="es-ES"/>
              </w:rPr>
              <w:t>SERIES</w:t>
            </w:r>
          </w:p>
        </w:tc>
        <w:tc>
          <w:tcPr>
            <w:tcW w:w="647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color w:val="000000"/>
                <w:sz w:val="22"/>
                <w:lang w:eastAsia="es-ES"/>
              </w:rPr>
            </w:pPr>
          </w:p>
        </w:tc>
      </w:tr>
    </w:tbl>
    <w:p w:rsidR="00FD1D20" w:rsidRDefault="00FD1D20" w:rsidP="00DA3CD8">
      <w:pPr>
        <w:jc w:val="both"/>
        <w:rPr>
          <w:rFonts w:cs="Arial"/>
          <w:iCs/>
          <w:szCs w:val="24"/>
        </w:rPr>
      </w:pPr>
    </w:p>
    <w:p w:rsidR="00867E81" w:rsidRDefault="00867E81" w:rsidP="00DA3CD8">
      <w:pPr>
        <w:jc w:val="both"/>
        <w:rPr>
          <w:rFonts w:cs="Arial"/>
          <w:iCs/>
          <w:szCs w:val="24"/>
        </w:rPr>
      </w:pPr>
      <w:r>
        <w:rPr>
          <w:rFonts w:cs="Arial"/>
          <w:iCs/>
          <w:color w:val="833C0B" w:themeColor="accent2" w:themeShade="80"/>
          <w:szCs w:val="24"/>
        </w:rPr>
        <w:t>Carlos y Roberto harán una propuesta y se hará una reunión monográfica</w:t>
      </w:r>
    </w:p>
    <w:p w:rsidR="00BF5019" w:rsidRDefault="00BF5019" w:rsidP="00DA3CD8">
      <w:pPr>
        <w:jc w:val="both"/>
        <w:rPr>
          <w:rFonts w:cs="Arial"/>
          <w:iCs/>
          <w:szCs w:val="24"/>
        </w:rPr>
      </w:pPr>
    </w:p>
    <w:p w:rsidR="00FD1D20" w:rsidRDefault="00FD1D20" w:rsidP="00DA3CD8">
      <w:pPr>
        <w:jc w:val="both"/>
        <w:rPr>
          <w:rFonts w:cs="Arial"/>
          <w:iCs/>
          <w:szCs w:val="24"/>
        </w:rPr>
      </w:pPr>
    </w:p>
    <w:p w:rsidR="00FD1D20" w:rsidRDefault="00FD1D20" w:rsidP="00DA3CD8">
      <w:pPr>
        <w:jc w:val="both"/>
        <w:rPr>
          <w:rFonts w:cs="Arial"/>
          <w:iCs/>
          <w:szCs w:val="24"/>
        </w:rPr>
      </w:pPr>
    </w:p>
    <w:p w:rsidR="00FD1D20" w:rsidRDefault="00FD1D20">
      <w:pPr>
        <w:rPr>
          <w:rFonts w:cs="Arial"/>
          <w:iCs/>
          <w:color w:val="FF0000"/>
          <w:szCs w:val="24"/>
        </w:rPr>
      </w:pPr>
      <w:r>
        <w:rPr>
          <w:rFonts w:cs="Arial"/>
          <w:iCs/>
          <w:color w:val="FF0000"/>
          <w:szCs w:val="24"/>
        </w:rPr>
        <w:br w:type="page"/>
      </w:r>
    </w:p>
    <w:p w:rsidR="005C69F2" w:rsidRPr="00FF0857" w:rsidRDefault="005C69F2" w:rsidP="00DA3CD8">
      <w:pPr>
        <w:jc w:val="both"/>
        <w:rPr>
          <w:rFonts w:cs="Arial"/>
          <w:iCs/>
          <w:color w:val="FF0000"/>
          <w:szCs w:val="24"/>
        </w:rPr>
      </w:pPr>
    </w:p>
    <w:tbl>
      <w:tblPr>
        <w:tblW w:w="5118" w:type="dxa"/>
        <w:tblInd w:w="55" w:type="dxa"/>
        <w:tblCellMar>
          <w:left w:w="70" w:type="dxa"/>
          <w:right w:w="70" w:type="dxa"/>
        </w:tblCellMar>
        <w:tblLook w:val="04A0" w:firstRow="1" w:lastRow="0" w:firstColumn="1" w:lastColumn="0" w:noHBand="0" w:noVBand="1"/>
      </w:tblPr>
      <w:tblGrid>
        <w:gridCol w:w="1200"/>
        <w:gridCol w:w="3918"/>
      </w:tblGrid>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FAMILY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Lite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1Play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3Play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Smart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PowerMax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PowerStation</w:t>
            </w:r>
            <w:r w:rsidR="003654A3">
              <w:rPr>
                <w:rFonts w:ascii="Calibri" w:eastAsia="Times New Roman" w:hAnsi="Calibri"/>
                <w:color w:val="FF0000"/>
                <w:sz w:val="22"/>
                <w:lang w:eastAsia="es-ES"/>
              </w:rPr>
              <w:t xml:space="preserve"> (Category?)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Interface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Manager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Plant Controller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WeatherBox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Communication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Planner</w:t>
            </w:r>
            <w:r w:rsidR="00803136">
              <w:rPr>
                <w:rFonts w:ascii="Calibri" w:eastAsia="Times New Roman" w:hAnsi="Calibri"/>
                <w:color w:val="FF0000"/>
                <w:sz w:val="22"/>
                <w:lang w:eastAsia="es-ES"/>
              </w:rPr>
              <w:t xml:space="preserve"> (eliminar)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Monitor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Tools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StringControl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LOC</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SERIES</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HF</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M</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SHE 22</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CON 40</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MODEL</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Pr>
                <w:rFonts w:ascii="Calibri" w:eastAsia="Times New Roman" w:hAnsi="Calibri"/>
                <w:color w:val="000000"/>
                <w:sz w:val="22"/>
                <w:lang w:eastAsia="es-ES"/>
              </w:rPr>
              <w:t>Ver anexo "A.1 - Jerarquía de Productos"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bl>
    <w:p w:rsidR="00DA3CD8" w:rsidRDefault="00DA3CD8" w:rsidP="00DA3CD8">
      <w:pPr>
        <w:jc w:val="both"/>
        <w:rPr>
          <w:rFonts w:cs="Arial"/>
          <w:iCs/>
          <w:szCs w:val="24"/>
        </w:rPr>
      </w:pPr>
    </w:p>
    <w:p w:rsidR="00DA3CD8" w:rsidRPr="0053381E" w:rsidRDefault="00DA3CD8" w:rsidP="00DA3CD8">
      <w:pPr>
        <w:jc w:val="both"/>
        <w:rPr>
          <w:rFonts w:cs="Arial"/>
          <w:szCs w:val="24"/>
        </w:rPr>
      </w:pPr>
    </w:p>
    <w:p w:rsidR="00DA3CD8" w:rsidRDefault="00DA3CD8" w:rsidP="00DA3CD8">
      <w:pPr>
        <w:jc w:val="both"/>
        <w:rPr>
          <w:rFonts w:cs="Arial"/>
          <w:iCs/>
          <w:szCs w:val="24"/>
        </w:rPr>
      </w:pPr>
    </w:p>
    <w:p w:rsidR="00DA3CD8" w:rsidRDefault="00DA3CD8" w:rsidP="00DA3CD8">
      <w:pPr>
        <w:rPr>
          <w:rFonts w:cs="Arial"/>
          <w:iCs/>
          <w:szCs w:val="24"/>
        </w:rPr>
      </w:pPr>
      <w:r>
        <w:rPr>
          <w:rFonts w:cs="Arial"/>
          <w:iCs/>
          <w:szCs w:val="24"/>
        </w:rPr>
        <w:br w:type="page"/>
      </w:r>
    </w:p>
    <w:p w:rsidR="00DA3CD8" w:rsidRDefault="00DA3CD8" w:rsidP="00DA3CD8">
      <w:pPr>
        <w:jc w:val="both"/>
        <w:rPr>
          <w:rFonts w:cs="Arial"/>
          <w:iCs/>
          <w:szCs w:val="24"/>
        </w:rPr>
      </w:pPr>
    </w:p>
    <w:p w:rsidR="00DA3CD8" w:rsidRDefault="00DA3CD8" w:rsidP="00DA3CD8">
      <w:pPr>
        <w:jc w:val="both"/>
        <w:rPr>
          <w:lang w:eastAsia="es-ES"/>
        </w:rPr>
      </w:pPr>
      <w:r>
        <w:rPr>
          <w:lang w:eastAsia="es-ES"/>
        </w:rPr>
        <w:t>Dentro del Área FV de IPT Energy, también se desarrolla una gama de productos de movilidad eléctrica, disponible en cuatro familias:</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r>
        <w:rPr>
          <w:rFonts w:cs="Arial"/>
          <w:iCs/>
          <w:szCs w:val="24"/>
        </w:rPr>
        <w:t>Ingerev Garage Basic</w:t>
      </w:r>
    </w:p>
    <w:p w:rsidR="00DA3CD8" w:rsidRDefault="00DA3CD8" w:rsidP="00E552C2">
      <w:pPr>
        <w:numPr>
          <w:ilvl w:val="0"/>
          <w:numId w:val="36"/>
        </w:numPr>
        <w:jc w:val="both"/>
        <w:rPr>
          <w:rFonts w:cs="Arial"/>
          <w:iCs/>
          <w:szCs w:val="24"/>
        </w:rPr>
      </w:pPr>
      <w:r>
        <w:rPr>
          <w:rFonts w:cs="Arial"/>
          <w:iCs/>
          <w:szCs w:val="24"/>
        </w:rPr>
        <w:t>Ingerev Garage</w:t>
      </w:r>
    </w:p>
    <w:p w:rsidR="00DA3CD8" w:rsidRDefault="00DA3CD8" w:rsidP="00E552C2">
      <w:pPr>
        <w:numPr>
          <w:ilvl w:val="0"/>
          <w:numId w:val="36"/>
        </w:numPr>
        <w:jc w:val="both"/>
        <w:rPr>
          <w:rFonts w:cs="Arial"/>
          <w:iCs/>
          <w:szCs w:val="24"/>
        </w:rPr>
      </w:pPr>
      <w:r>
        <w:rPr>
          <w:rFonts w:cs="Arial"/>
          <w:iCs/>
          <w:szCs w:val="24"/>
        </w:rPr>
        <w:t>Ingerev City</w:t>
      </w:r>
    </w:p>
    <w:p w:rsidR="000946E2" w:rsidRDefault="00DA3CD8" w:rsidP="000946E2">
      <w:pPr>
        <w:numPr>
          <w:ilvl w:val="0"/>
          <w:numId w:val="36"/>
        </w:numPr>
        <w:jc w:val="both"/>
        <w:rPr>
          <w:rFonts w:cs="Arial"/>
          <w:iCs/>
          <w:szCs w:val="24"/>
        </w:rPr>
      </w:pPr>
      <w:r>
        <w:rPr>
          <w:rFonts w:cs="Arial"/>
          <w:iCs/>
          <w:szCs w:val="24"/>
        </w:rPr>
        <w:t>Ingerev Road</w:t>
      </w:r>
    </w:p>
    <w:p w:rsidR="003654A3" w:rsidRDefault="003654A3" w:rsidP="000946E2">
      <w:pPr>
        <w:numPr>
          <w:ilvl w:val="0"/>
          <w:numId w:val="36"/>
        </w:numPr>
        <w:jc w:val="both"/>
        <w:rPr>
          <w:rFonts w:cs="Arial"/>
          <w:iCs/>
          <w:szCs w:val="24"/>
        </w:rPr>
      </w:pPr>
      <w:r>
        <w:rPr>
          <w:rFonts w:cs="Arial"/>
          <w:iCs/>
          <w:szCs w:val="24"/>
        </w:rPr>
        <w:t>Ingerev City Duo</w:t>
      </w:r>
    </w:p>
    <w:p w:rsidR="000946E2" w:rsidRDefault="000946E2" w:rsidP="000946E2">
      <w:pPr>
        <w:jc w:val="both"/>
        <w:rPr>
          <w:rFonts w:cs="Arial"/>
          <w:iCs/>
          <w:szCs w:val="24"/>
        </w:rPr>
      </w:pPr>
    </w:p>
    <w:p w:rsidR="00DA3CD8" w:rsidRDefault="00DA3CD8" w:rsidP="00DA3CD8">
      <w:pPr>
        <w:rPr>
          <w:lang w:eastAsia="es-ES"/>
        </w:rPr>
      </w:pPr>
      <w:r>
        <w:rPr>
          <w:lang w:eastAsia="es-ES"/>
        </w:rPr>
        <w:br w:type="page"/>
      </w:r>
    </w:p>
    <w:p w:rsidR="00DA3CD8" w:rsidRDefault="00DA3CD8" w:rsidP="00DA3CD8">
      <w:pPr>
        <w:pStyle w:val="Ttulo3"/>
      </w:pPr>
      <w:bookmarkStart w:id="10" w:name="_Toc414217432"/>
      <w:bookmarkStart w:id="11" w:name="_Toc416694176"/>
      <w:r>
        <w:lastRenderedPageBreak/>
        <w:t>Servicios prestados por INGETEAM</w:t>
      </w:r>
      <w:bookmarkEnd w:id="10"/>
      <w:bookmarkEnd w:id="11"/>
    </w:p>
    <w:p w:rsidR="00DA3CD8" w:rsidRDefault="00DA3CD8" w:rsidP="00DA3CD8"/>
    <w:p w:rsidR="00DA3CD8" w:rsidRDefault="00DA3CD8" w:rsidP="00DA3CD8">
      <w:r>
        <w:t>IPT - (FV) ofrece los siguientes módulos de servicio.</w:t>
      </w:r>
    </w:p>
    <w:p w:rsidR="00DA3CD8" w:rsidRDefault="00DA3CD8" w:rsidP="00DA3CD8"/>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594"/>
        <w:gridCol w:w="5036"/>
      </w:tblGrid>
      <w:tr w:rsidR="00DA3CD8" w:rsidRPr="000D76B7" w:rsidTr="00D17765">
        <w:trPr>
          <w:cantSplit/>
          <w:trHeight w:val="300"/>
          <w:tblHeader/>
        </w:trPr>
        <w:tc>
          <w:tcPr>
            <w:tcW w:w="3890" w:type="dxa"/>
            <w:gridSpan w:val="2"/>
            <w:tcBorders>
              <w:bottom w:val="single" w:sz="4" w:space="0" w:color="auto"/>
            </w:tcBorders>
            <w:shd w:val="clear" w:color="000000" w:fill="C5D9F1"/>
            <w:noWrap/>
            <w:hideMark/>
          </w:tcPr>
          <w:p w:rsidR="00DA3CD8" w:rsidRPr="00223B69"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DA3CD8" w:rsidRPr="000D76B7"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DA3CD8" w:rsidRPr="00223B69" w:rsidTr="00D17765">
        <w:trPr>
          <w:cantSplit/>
          <w:trHeight w:val="1561"/>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5pt;height:55.15pt" o:ole="">
                  <v:imagedata r:id="rId10" o:title=""/>
                </v:shape>
                <o:OLEObject Type="Embed" ProgID="PBrush" ShapeID="_x0000_i1025" DrawAspect="Content" ObjectID="_1490436771" r:id="rId11"/>
              </w:object>
            </w:r>
          </w:p>
        </w:tc>
        <w:tc>
          <w:tcPr>
            <w:tcW w:w="2594" w:type="dxa"/>
            <w:tcBorders>
              <w:left w:val="nil"/>
            </w:tcBorders>
            <w:shd w:val="clear" w:color="auto" w:fill="auto"/>
            <w:noWrap/>
            <w:vAlign w:val="center"/>
          </w:tcPr>
          <w:p w:rsidR="00DA3CD8" w:rsidRPr="000D76B7" w:rsidRDefault="00DA3CD8" w:rsidP="00D17765">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Pr>
                <w:rFonts w:ascii="Calibri" w:eastAsia="Times New Roman" w:hAnsi="Calibri"/>
                <w:color w:val="000000"/>
                <w:lang w:eastAsia="es-ES"/>
              </w:rPr>
              <w:t>Prolongar</w:t>
            </w:r>
            <w:r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Pr="000D76B7">
              <w:rPr>
                <w:rFonts w:ascii="Calibri" w:eastAsia="Times New Roman" w:hAnsi="Calibri"/>
                <w:color w:val="000000"/>
                <w:lang w:eastAsia="es-ES"/>
              </w:rPr>
              <w:t>.</w:t>
            </w:r>
          </w:p>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DA3CD8" w:rsidRPr="00223B69" w:rsidTr="00D17765">
        <w:trPr>
          <w:cantSplit/>
          <w:trHeight w:val="1298"/>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95pt;height:57.05pt" o:ole="">
                  <v:imagedata r:id="rId12" o:title=""/>
                </v:shape>
                <o:OLEObject Type="Embed" ProgID="PBrush" ShapeID="_x0000_i1026" DrawAspect="Content" ObjectID="_1490436772" r:id="rId13"/>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propios y del cliente</w:t>
            </w:r>
            <w:r w:rsidRPr="000D76B7">
              <w:rPr>
                <w:rFonts w:ascii="Calibri" w:eastAsia="Times New Roman" w:hAnsi="Calibri"/>
                <w:bCs/>
                <w:color w:val="000000"/>
                <w:lang w:eastAsia="es-ES"/>
              </w:rPr>
              <w:t>.</w:t>
            </w:r>
          </w:p>
        </w:tc>
      </w:tr>
      <w:tr w:rsidR="00DA3CD8" w:rsidRPr="00223B69" w:rsidTr="00D17765">
        <w:trPr>
          <w:cantSplit/>
          <w:trHeight w:val="1310"/>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4.25pt;height:54.25pt" o:ole="">
                  <v:imagedata r:id="rId14" o:title=""/>
                </v:shape>
                <o:OLEObject Type="Embed" ProgID="PBrush" ShapeID="_x0000_i1027" DrawAspect="Content" ObjectID="_1490436773" r:id="rId15"/>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Reparación en fábrica</w:t>
            </w:r>
            <w:r w:rsidRPr="000D76B7">
              <w:rPr>
                <w:rFonts w:ascii="Calibri" w:eastAsia="Times New Roman" w:hAnsi="Calibri"/>
                <w:bCs/>
                <w:color w:val="000000"/>
                <w:lang w:eastAsia="es-ES"/>
              </w:rPr>
              <w:t>.</w:t>
            </w:r>
          </w:p>
        </w:tc>
      </w:tr>
    </w:tbl>
    <w:p w:rsidR="00DA3CD8" w:rsidRPr="00A15CBD" w:rsidRDefault="00DA3CD8" w:rsidP="00DA3CD8"/>
    <w:p w:rsidR="00DA3CD8" w:rsidRDefault="00DA3CD8" w:rsidP="00DA3CD8">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2" w:name="_Toc414217433"/>
      <w:bookmarkStart w:id="13" w:name="_Toc416694177"/>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2"/>
      <w:bookmarkEnd w:id="13"/>
    </w:p>
    <w:p w:rsidR="00DA3CD8" w:rsidRDefault="00DA3CD8" w:rsidP="00DA3CD8">
      <w:pPr>
        <w:rPr>
          <w:lang w:eastAsia="es-ES"/>
        </w:rPr>
      </w:pPr>
    </w:p>
    <w:p w:rsidR="00DA3CD8" w:rsidRDefault="00DA3CD8" w:rsidP="00DA3CD8">
      <w:pPr>
        <w:rPr>
          <w:lang w:eastAsia="es-ES"/>
        </w:rPr>
      </w:pPr>
      <w:r>
        <w:rPr>
          <w:lang w:eastAsia="es-ES"/>
        </w:rPr>
        <w:t>Ingeteam FV segmenta el mercado con respecto a la dimensión de las instalaciones. Existen tres segmentos de mercado: Canal Residencial, Canal Comercial/Industrial y   Canal Landscape/Utilities. Por norma general los actores en cada uno de los segmentos son diferentes, pero no excluyentes.</w:t>
      </w:r>
    </w:p>
    <w:p w:rsidR="00DA3CD8" w:rsidRPr="000B16B2" w:rsidRDefault="00DA3CD8" w:rsidP="00DA3CD8">
      <w:pPr>
        <w:rPr>
          <w:lang w:eastAsia="es-ES"/>
        </w:rPr>
      </w:pPr>
    </w:p>
    <w:p w:rsidR="00DA3CD8" w:rsidRDefault="00DA3CD8" w:rsidP="00DA3CD8">
      <w:pPr>
        <w:rPr>
          <w:lang w:eastAsia="es-ES"/>
        </w:rPr>
      </w:pPr>
      <w:r>
        <w:rPr>
          <w:lang w:eastAsia="es-ES"/>
        </w:rPr>
        <w:t>Estos segmentos son:</w:t>
      </w:r>
    </w:p>
    <w:p w:rsidR="00DA3CD8" w:rsidRPr="00B11649" w:rsidRDefault="00DA3CD8" w:rsidP="00E552C2">
      <w:pPr>
        <w:numPr>
          <w:ilvl w:val="0"/>
          <w:numId w:val="37"/>
        </w:numPr>
        <w:rPr>
          <w:b/>
          <w:lang w:eastAsia="es-ES"/>
        </w:rPr>
      </w:pPr>
      <w:r w:rsidRPr="00B11649">
        <w:rPr>
          <w:b/>
          <w:lang w:eastAsia="es-ES"/>
        </w:rPr>
        <w:t xml:space="preserve">Canal Residencial </w:t>
      </w:r>
    </w:p>
    <w:p w:rsidR="00DA3CD8" w:rsidRDefault="00DA3CD8" w:rsidP="00E552C2">
      <w:pPr>
        <w:numPr>
          <w:ilvl w:val="1"/>
          <w:numId w:val="37"/>
        </w:numPr>
        <w:rPr>
          <w:lang w:eastAsia="es-ES"/>
        </w:rPr>
      </w:pPr>
      <w:r>
        <w:rPr>
          <w:lang w:eastAsia="es-ES"/>
        </w:rPr>
        <w:t>Rango: 0-10 kWp</w:t>
      </w:r>
    </w:p>
    <w:p w:rsidR="00DA3CD8" w:rsidRDefault="00DA3CD8" w:rsidP="00E552C2">
      <w:pPr>
        <w:numPr>
          <w:ilvl w:val="1"/>
          <w:numId w:val="37"/>
        </w:numPr>
        <w:rPr>
          <w:lang w:eastAsia="es-ES"/>
        </w:rPr>
      </w:pPr>
      <w:r>
        <w:rPr>
          <w:lang w:eastAsia="es-ES"/>
        </w:rPr>
        <w:t>Productos: 1-Play</w:t>
      </w:r>
    </w:p>
    <w:p w:rsidR="00DA3CD8" w:rsidRDefault="00DA3CD8" w:rsidP="00E552C2">
      <w:pPr>
        <w:numPr>
          <w:ilvl w:val="1"/>
          <w:numId w:val="37"/>
        </w:numPr>
        <w:rPr>
          <w:lang w:eastAsia="es-ES"/>
        </w:rPr>
      </w:pPr>
      <w:r>
        <w:rPr>
          <w:lang w:eastAsia="es-ES"/>
        </w:rPr>
        <w:t xml:space="preserve">Actores principales: Instaladores, Distribuidores (generalmente </w:t>
      </w:r>
      <w:r w:rsidRPr="006C43F9">
        <w:rPr>
          <w:lang w:eastAsia="es-ES"/>
        </w:rPr>
        <w:t>locales</w:t>
      </w:r>
      <w:r>
        <w:rPr>
          <w:lang w:eastAsia="es-ES"/>
        </w:rPr>
        <w:t xml:space="preserve"> o </w:t>
      </w:r>
      <w:r w:rsidRPr="006C43F9">
        <w:rPr>
          <w:lang w:eastAsia="es-ES"/>
        </w:rPr>
        <w:t>nacionales)</w:t>
      </w:r>
    </w:p>
    <w:p w:rsidR="00DA3CD8" w:rsidRDefault="00DA3CD8" w:rsidP="00E552C2">
      <w:pPr>
        <w:numPr>
          <w:ilvl w:val="0"/>
          <w:numId w:val="37"/>
        </w:numPr>
        <w:rPr>
          <w:lang w:eastAsia="es-ES"/>
        </w:rPr>
      </w:pPr>
      <w:r w:rsidRPr="00B11649">
        <w:rPr>
          <w:b/>
          <w:lang w:eastAsia="es-ES"/>
        </w:rPr>
        <w:t>Canal Comercial/Industrial</w:t>
      </w:r>
      <w:r>
        <w:rPr>
          <w:lang w:eastAsia="es-ES"/>
        </w:rPr>
        <w:t xml:space="preserve">   </w:t>
      </w:r>
    </w:p>
    <w:p w:rsidR="00DA3CD8" w:rsidRDefault="00DA3CD8" w:rsidP="00E552C2">
      <w:pPr>
        <w:numPr>
          <w:ilvl w:val="1"/>
          <w:numId w:val="37"/>
        </w:numPr>
        <w:rPr>
          <w:lang w:eastAsia="es-ES"/>
        </w:rPr>
      </w:pPr>
      <w:r>
        <w:rPr>
          <w:lang w:eastAsia="es-ES"/>
        </w:rPr>
        <w:t>Rango: 10 kWp – 1 MWp</w:t>
      </w:r>
    </w:p>
    <w:p w:rsidR="00DA3CD8" w:rsidRDefault="00DA3CD8" w:rsidP="00E552C2">
      <w:pPr>
        <w:numPr>
          <w:ilvl w:val="1"/>
          <w:numId w:val="37"/>
        </w:numPr>
        <w:rPr>
          <w:lang w:eastAsia="es-ES"/>
        </w:rPr>
      </w:pPr>
      <w:r>
        <w:rPr>
          <w:lang w:eastAsia="es-ES"/>
        </w:rPr>
        <w:t>Productos: 3-Play</w:t>
      </w:r>
    </w:p>
    <w:p w:rsidR="00DA3CD8" w:rsidRDefault="00DA3CD8" w:rsidP="00E552C2">
      <w:pPr>
        <w:numPr>
          <w:ilvl w:val="1"/>
          <w:numId w:val="37"/>
        </w:numPr>
        <w:rPr>
          <w:lang w:eastAsia="es-ES"/>
        </w:rPr>
      </w:pPr>
      <w:r>
        <w:rPr>
          <w:lang w:eastAsia="es-ES"/>
        </w:rPr>
        <w:t>Actores principales: Centros Comerciales, Fabricantes/Distribuidores de coches</w:t>
      </w:r>
    </w:p>
    <w:p w:rsidR="00DA3CD8" w:rsidRPr="00B11649" w:rsidRDefault="00DA3CD8" w:rsidP="00E552C2">
      <w:pPr>
        <w:numPr>
          <w:ilvl w:val="0"/>
          <w:numId w:val="37"/>
        </w:numPr>
        <w:rPr>
          <w:b/>
          <w:lang w:eastAsia="es-ES"/>
        </w:rPr>
      </w:pPr>
      <w:r w:rsidRPr="00B11649">
        <w:rPr>
          <w:b/>
          <w:lang w:eastAsia="es-ES"/>
        </w:rPr>
        <w:t>Canal Landscape/Utilities</w:t>
      </w:r>
    </w:p>
    <w:p w:rsidR="00DA3CD8" w:rsidRDefault="00DA3CD8" w:rsidP="00E552C2">
      <w:pPr>
        <w:numPr>
          <w:ilvl w:val="1"/>
          <w:numId w:val="37"/>
        </w:numPr>
        <w:rPr>
          <w:lang w:eastAsia="es-ES"/>
        </w:rPr>
      </w:pPr>
      <w:r>
        <w:rPr>
          <w:lang w:eastAsia="es-ES"/>
        </w:rPr>
        <w:t>Rango: &gt; 1MWp</w:t>
      </w:r>
    </w:p>
    <w:p w:rsidR="00DA3CD8" w:rsidRDefault="00DA3CD8" w:rsidP="00E552C2">
      <w:pPr>
        <w:numPr>
          <w:ilvl w:val="1"/>
          <w:numId w:val="37"/>
        </w:numPr>
        <w:rPr>
          <w:lang w:eastAsia="es-ES"/>
        </w:rPr>
      </w:pPr>
      <w:r>
        <w:rPr>
          <w:lang w:eastAsia="es-ES"/>
        </w:rPr>
        <w:t>Productos: Power Stations, Central Inverters</w:t>
      </w:r>
    </w:p>
    <w:p w:rsidR="00DA3CD8" w:rsidRDefault="00DA3CD8" w:rsidP="00E552C2">
      <w:pPr>
        <w:numPr>
          <w:ilvl w:val="1"/>
          <w:numId w:val="37"/>
        </w:numPr>
        <w:rPr>
          <w:lang w:eastAsia="es-ES"/>
        </w:rPr>
      </w:pPr>
      <w:r>
        <w:rPr>
          <w:lang w:eastAsia="es-ES"/>
        </w:rPr>
        <w:t xml:space="preserve">Actores principales: </w:t>
      </w:r>
      <w:r w:rsidRPr="006C43F9">
        <w:rPr>
          <w:lang w:eastAsia="es-ES"/>
        </w:rPr>
        <w:t>EPCistas, Developers/Promotores</w:t>
      </w:r>
      <w:r>
        <w:rPr>
          <w:lang w:eastAsia="es-ES"/>
        </w:rPr>
        <w:t xml:space="preserve"> </w:t>
      </w:r>
      <w:r w:rsidRPr="006C43F9">
        <w:rPr>
          <w:lang w:eastAsia="es-ES"/>
        </w:rPr>
        <w:t xml:space="preserve">(generalmente </w:t>
      </w:r>
      <w:r>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DA3CD8" w:rsidRDefault="00DA3CD8" w:rsidP="00DA3CD8">
      <w:pPr>
        <w:pStyle w:val="Prrafodelista"/>
        <w:ind w:left="0"/>
        <w:jc w:val="both"/>
        <w:rPr>
          <w:rFonts w:cs="Times New Roman"/>
          <w:lang w:eastAsia="es-ES"/>
        </w:rPr>
      </w:pPr>
    </w:p>
    <w:p w:rsidR="00DA3CD8" w:rsidRDefault="00DA3CD8" w:rsidP="00DA3CD8">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DA3CD8" w:rsidRDefault="00DA3CD8" w:rsidP="00E552C2">
      <w:pPr>
        <w:pStyle w:val="Prrafodelista"/>
        <w:numPr>
          <w:ilvl w:val="0"/>
          <w:numId w:val="38"/>
        </w:numPr>
        <w:spacing w:after="200" w:line="276" w:lineRule="auto"/>
        <w:contextualSpacing/>
        <w:jc w:val="both"/>
      </w:pPr>
      <w:r w:rsidRPr="00904742">
        <w:rPr>
          <w:b/>
        </w:rPr>
        <w:t>Company Value Chain Position</w:t>
      </w:r>
      <w:r>
        <w:t xml:space="preserve">: </w:t>
      </w:r>
    </w:p>
    <w:p w:rsidR="00DA3CD8" w:rsidRDefault="00DA3CD8" w:rsidP="00E552C2">
      <w:pPr>
        <w:pStyle w:val="Prrafodelista"/>
        <w:numPr>
          <w:ilvl w:val="1"/>
          <w:numId w:val="38"/>
        </w:numPr>
        <w:spacing w:after="200" w:line="276" w:lineRule="auto"/>
        <w:ind w:left="1985" w:hanging="557"/>
        <w:contextualSpacing/>
        <w:jc w:val="both"/>
      </w:pPr>
      <w:r>
        <w:t>Este criterio define la actividad concreta que realiza la empresa dentro de la cadena de valor. Éste es multi-valor ya que una determinada empresa puede desempeñar una o más de las funciones enumeradas.</w:t>
      </w:r>
    </w:p>
    <w:p w:rsidR="00DA3CD8" w:rsidRDefault="00DA3CD8" w:rsidP="00E552C2">
      <w:pPr>
        <w:pStyle w:val="Prrafodelista"/>
        <w:numPr>
          <w:ilvl w:val="0"/>
          <w:numId w:val="38"/>
        </w:numPr>
        <w:spacing w:after="200" w:line="276" w:lineRule="auto"/>
        <w:contextualSpacing/>
        <w:jc w:val="both"/>
        <w:rPr>
          <w:b/>
        </w:rPr>
      </w:pPr>
      <w:r w:rsidRPr="00904742">
        <w:rPr>
          <w:b/>
        </w:rPr>
        <w:t>Company Status</w:t>
      </w:r>
      <w:r>
        <w:rPr>
          <w:b/>
        </w:rPr>
        <w:t>:</w:t>
      </w:r>
    </w:p>
    <w:p w:rsidR="00DA3CD8" w:rsidRPr="00904742" w:rsidRDefault="00DA3CD8" w:rsidP="00E552C2">
      <w:pPr>
        <w:pStyle w:val="Prrafodelista"/>
        <w:numPr>
          <w:ilvl w:val="1"/>
          <w:numId w:val="38"/>
        </w:numPr>
        <w:spacing w:after="200" w:line="276" w:lineRule="auto"/>
        <w:ind w:left="1985" w:hanging="557"/>
        <w:contextualSpacing/>
        <w:jc w:val="both"/>
        <w:rPr>
          <w:b/>
        </w:rPr>
      </w:pPr>
      <w:r>
        <w:t>Describe si la empresa está activa o inactiva en el sector FV, o si ya no realiza actividad comercial.</w:t>
      </w:r>
    </w:p>
    <w:p w:rsidR="00DA3CD8" w:rsidRDefault="00DA3CD8" w:rsidP="00E552C2">
      <w:pPr>
        <w:pStyle w:val="Prrafodelista"/>
        <w:numPr>
          <w:ilvl w:val="0"/>
          <w:numId w:val="38"/>
        </w:numPr>
        <w:rPr>
          <w:b/>
          <w:lang w:val="en-US"/>
        </w:rPr>
      </w:pPr>
      <w:r w:rsidRPr="00D57134">
        <w:rPr>
          <w:b/>
        </w:rPr>
        <w:t>Relatio</w:t>
      </w:r>
      <w:r w:rsidRPr="000A6054">
        <w:rPr>
          <w:b/>
        </w:rPr>
        <w:t xml:space="preserve">n </w:t>
      </w:r>
      <w:r>
        <w:rPr>
          <w:b/>
          <w:lang w:val="en-US"/>
        </w:rPr>
        <w:t xml:space="preserve">with </w:t>
      </w:r>
      <w:r w:rsidRPr="00126A5A">
        <w:rPr>
          <w:b/>
          <w:lang w:val="en-US"/>
        </w:rPr>
        <w:t>Ingeteam</w:t>
      </w:r>
      <w:r>
        <w:rPr>
          <w:b/>
          <w:lang w:val="en-US"/>
        </w:rPr>
        <w:t xml:space="preserve">: </w:t>
      </w:r>
    </w:p>
    <w:p w:rsidR="00DA3CD8" w:rsidRPr="007B43F9" w:rsidRDefault="00DA3CD8" w:rsidP="00E552C2">
      <w:pPr>
        <w:pStyle w:val="Prrafodelista"/>
        <w:numPr>
          <w:ilvl w:val="1"/>
          <w:numId w:val="38"/>
        </w:numPr>
        <w:ind w:left="1985" w:hanging="557"/>
      </w:pPr>
      <w:r w:rsidRPr="007B43F9">
        <w:t>Aquí se clasifican las empresas de acuerdo a su relaci</w:t>
      </w:r>
      <w:r>
        <w:t>ón legal/organizacional con respecto a INGETEAM (e.j: filial).</w:t>
      </w:r>
    </w:p>
    <w:p w:rsidR="00DA3CD8" w:rsidRPr="0086314D" w:rsidRDefault="00DA3CD8" w:rsidP="00E552C2">
      <w:pPr>
        <w:pStyle w:val="Prrafodelista"/>
        <w:numPr>
          <w:ilvl w:val="0"/>
          <w:numId w:val="38"/>
        </w:numPr>
        <w:rPr>
          <w:b/>
          <w:lang w:val="en-US"/>
        </w:rPr>
      </w:pPr>
      <w:r>
        <w:rPr>
          <w:b/>
        </w:rPr>
        <w:t>Activity Level:</w:t>
      </w:r>
    </w:p>
    <w:p w:rsidR="00DA3CD8" w:rsidRPr="0086314D" w:rsidRDefault="00DA3CD8" w:rsidP="00E552C2">
      <w:pPr>
        <w:pStyle w:val="Prrafodelista"/>
        <w:numPr>
          <w:ilvl w:val="1"/>
          <w:numId w:val="38"/>
        </w:numPr>
        <w:ind w:left="1985" w:hanging="557"/>
        <w:rPr>
          <w:b/>
        </w:rPr>
      </w:pPr>
      <w:r w:rsidRPr="0086314D">
        <w:t xml:space="preserve">Clasifica al cliente de acuerdo a su </w:t>
      </w:r>
      <w:r>
        <w:t>relación histórica con INGETEAM (si ha sido contactado, si es un cliente nuevo o antiguo, etc...).</w:t>
      </w:r>
    </w:p>
    <w:p w:rsidR="00DA3CD8" w:rsidRPr="0086314D" w:rsidRDefault="00DA3CD8" w:rsidP="00E552C2">
      <w:pPr>
        <w:pStyle w:val="Prrafodelista"/>
        <w:numPr>
          <w:ilvl w:val="0"/>
          <w:numId w:val="38"/>
        </w:numPr>
        <w:rPr>
          <w:b/>
          <w:lang w:val="en-US"/>
        </w:rPr>
      </w:pPr>
      <w:r>
        <w:rPr>
          <w:b/>
        </w:rPr>
        <w:t>Commercial Importance for IPT:</w:t>
      </w:r>
    </w:p>
    <w:p w:rsidR="00DA3CD8" w:rsidRPr="0086314D" w:rsidRDefault="00DA3CD8" w:rsidP="00E552C2">
      <w:pPr>
        <w:pStyle w:val="Prrafodelista"/>
        <w:numPr>
          <w:ilvl w:val="1"/>
          <w:numId w:val="38"/>
        </w:numPr>
        <w:ind w:left="1985" w:hanging="557"/>
        <w:rPr>
          <w:b/>
        </w:rPr>
      </w:pPr>
      <w:r w:rsidRPr="0086314D">
        <w:t>En este criterio se clasif</w:t>
      </w:r>
      <w:r>
        <w:t>ican las empresas de acuerdo al impacto comercial que tienen en la actividad comercial de INGETEAM.</w:t>
      </w:r>
    </w:p>
    <w:sectPr w:rsidR="00DA3CD8" w:rsidRPr="0086314D" w:rsidSect="00C87CDB">
      <w:headerReference w:type="default" r:id="rId16"/>
      <w:footerReference w:type="even" r:id="rId17"/>
      <w:footerReference w:type="default" r:id="rId18"/>
      <w:headerReference w:type="first" r:id="rId19"/>
      <w:footerReference w:type="first" r:id="rId20"/>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945" w:rsidRDefault="005E4945">
      <w:r>
        <w:separator/>
      </w:r>
    </w:p>
  </w:endnote>
  <w:endnote w:type="continuationSeparator" w:id="0">
    <w:p w:rsidR="005E4945" w:rsidRDefault="005E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AA722F" w:rsidRPr="00AA722F">
            <w:rPr>
              <w:noProof/>
              <w:sz w:val="14"/>
              <w:szCs w:val="16"/>
              <w:lang w:val="en-US" w:eastAsia="es-ES"/>
            </w:rPr>
            <w:t>IPT_ACRM_DA_Cap01_150413.docx</w:t>
          </w:r>
          <w:r w:rsidRPr="00C272DD">
            <w:rPr>
              <w:sz w:val="14"/>
              <w:szCs w:val="16"/>
              <w:lang w:eastAsia="es-ES"/>
            </w:rPr>
            <w:fldChar w:fldCharType="end"/>
          </w:r>
        </w:p>
      </w:tc>
      <w:tc>
        <w:tcPr>
          <w:tcW w:w="4546"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BC587D">
            <w:rPr>
              <w:noProof/>
              <w:sz w:val="18"/>
              <w:lang w:eastAsia="es-ES"/>
            </w:rPr>
            <w:t>15</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BC587D">
            <w:rPr>
              <w:noProof/>
              <w:sz w:val="14"/>
              <w:szCs w:val="16"/>
              <w:lang w:eastAsia="es-ES"/>
            </w:rPr>
            <w:t>15</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945" w:rsidRDefault="005E4945">
      <w:r>
        <w:separator/>
      </w:r>
    </w:p>
  </w:footnote>
  <w:footnote w:type="continuationSeparator" w:id="0">
    <w:p w:rsidR="005E4945" w:rsidRDefault="005E4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EF71BE">
          <w:pPr>
            <w:pStyle w:val="Encabezado"/>
            <w:spacing w:before="60"/>
            <w:jc w:val="center"/>
            <w:rPr>
              <w:b/>
              <w:lang w:val="es-ES_tradnl" w:eastAsia="es-ES"/>
            </w:rPr>
          </w:pPr>
          <w:r>
            <w:rPr>
              <w:b/>
              <w:snapToGrid w:val="0"/>
              <w:lang w:val="es-ES_tradnl" w:eastAsia="es-ES"/>
            </w:rPr>
            <w:t>Documento de Análisis</w:t>
          </w:r>
          <w:r w:rsidR="00AA722F">
            <w:rPr>
              <w:b/>
              <w:snapToGrid w:val="0"/>
              <w:lang w:val="es-ES_tradnl" w:eastAsia="es-ES"/>
            </w:rPr>
            <w:t xml:space="preserve"> – Cap</w:t>
          </w:r>
          <w:r w:rsidR="00EF71BE">
            <w:rPr>
              <w:b/>
              <w:snapToGrid w:val="0"/>
              <w:lang w:val="es-ES_tradnl" w:eastAsia="es-ES"/>
            </w:rPr>
            <w:t>ítulo</w:t>
          </w:r>
          <w:r w:rsidR="00AA722F">
            <w:rPr>
              <w:b/>
              <w:snapToGrid w:val="0"/>
              <w:lang w:val="es-ES_tradnl" w:eastAsia="es-ES"/>
            </w:rPr>
            <w:t xml:space="preserve"> 01</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1474"/>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774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7BA0"/>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3F1"/>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2A26"/>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1FFA"/>
    <w:rsid w:val="00EF2DF4"/>
    <w:rsid w:val="00EF5BAB"/>
    <w:rsid w:val="00EF71BE"/>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B1059-04E5-41BF-9E22-B57182FB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2558</Words>
  <Characters>14075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16</cp:revision>
  <cp:lastPrinted>2014-11-11T20:01:00Z</cp:lastPrinted>
  <dcterms:created xsi:type="dcterms:W3CDTF">2015-04-13T08:06:00Z</dcterms:created>
  <dcterms:modified xsi:type="dcterms:W3CDTF">2015-04-13T11:26:00Z</dcterms:modified>
</cp:coreProperties>
</file>