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w:t>
          </w:r>
          <w:bookmarkStart w:id="0" w:name="_GoBack"/>
          <w:bookmarkEnd w:id="0"/>
          <w:r w:rsidRPr="00AC41E6">
            <w:rPr>
              <w:rFonts w:asciiTheme="minorHAnsi" w:hAnsiTheme="minorHAnsi"/>
              <w:b/>
              <w:color w:val="auto"/>
              <w:sz w:val="48"/>
              <w:szCs w:val="48"/>
            </w:rPr>
            <w:t>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617A1F"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617A1F">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617A1F">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617A1F">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17A1F">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617A1F"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617A1F"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1" w:name="_Toc416699712"/>
      <w:r>
        <w:t>DEFINICIÓN DEL PROCESO</w:t>
      </w:r>
      <w:bookmarkEnd w:id="1"/>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2" w:name="_Toc416699713"/>
      <w:r>
        <w:t>Descripción</w:t>
      </w:r>
      <w:bookmarkEnd w:id="2"/>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3" w:name="_Toc416699714"/>
      <w:r>
        <w:t>Actividades</w:t>
      </w:r>
      <w:bookmarkEnd w:id="3"/>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4" w:name="_Toc416699715"/>
      <w:r>
        <w:t>Diagrama General</w:t>
      </w:r>
      <w:bookmarkEnd w:id="4"/>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5" w:name="_Toc416699716"/>
      <w:r w:rsidRPr="002A4A10">
        <w:t>ACTIVIDADES</w:t>
      </w:r>
      <w:bookmarkEnd w:id="5"/>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6" w:name="_Toc416699717"/>
      <w:r w:rsidRPr="006A1FA0">
        <w:t>ACTIVIDAD</w:t>
      </w:r>
      <w:r>
        <w:t>: Establecimiento de Costes</w:t>
      </w:r>
      <w:bookmarkEnd w:id="6"/>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7" w:name="_Toc416686029"/>
      <w:bookmarkStart w:id="8" w:name="_Toc416686270"/>
      <w:bookmarkStart w:id="9" w:name="_Toc416695892"/>
      <w:bookmarkStart w:id="10" w:name="_Toc416699718"/>
      <w:bookmarkEnd w:id="7"/>
      <w:bookmarkEnd w:id="8"/>
      <w:bookmarkEnd w:id="9"/>
      <w:bookmarkEnd w:id="10"/>
    </w:p>
    <w:p w:rsidR="0051170F" w:rsidRPr="0051170F" w:rsidRDefault="0051170F" w:rsidP="0051170F">
      <w:pPr>
        <w:pStyle w:val="Prrafodelista"/>
        <w:numPr>
          <w:ilvl w:val="0"/>
          <w:numId w:val="6"/>
        </w:numPr>
        <w:contextualSpacing w:val="0"/>
        <w:outlineLvl w:val="2"/>
        <w:rPr>
          <w:b/>
          <w:vanish/>
          <w:sz w:val="28"/>
        </w:rPr>
      </w:pPr>
      <w:bookmarkStart w:id="11" w:name="_Toc416686030"/>
      <w:bookmarkStart w:id="12" w:name="_Toc416686271"/>
      <w:bookmarkStart w:id="13" w:name="_Toc416695893"/>
      <w:bookmarkStart w:id="14" w:name="_Toc416699719"/>
      <w:bookmarkEnd w:id="11"/>
      <w:bookmarkEnd w:id="12"/>
      <w:bookmarkEnd w:id="13"/>
      <w:bookmarkEnd w:id="14"/>
    </w:p>
    <w:p w:rsidR="0051170F" w:rsidRPr="0051170F" w:rsidRDefault="0051170F" w:rsidP="0051170F">
      <w:pPr>
        <w:pStyle w:val="Prrafodelista"/>
        <w:numPr>
          <w:ilvl w:val="1"/>
          <w:numId w:val="6"/>
        </w:numPr>
        <w:contextualSpacing w:val="0"/>
        <w:outlineLvl w:val="2"/>
        <w:rPr>
          <w:b/>
          <w:vanish/>
          <w:sz w:val="28"/>
        </w:rPr>
      </w:pPr>
      <w:bookmarkStart w:id="15" w:name="_Toc416686031"/>
      <w:bookmarkStart w:id="16" w:name="_Toc416686272"/>
      <w:bookmarkStart w:id="17" w:name="_Toc416695894"/>
      <w:bookmarkStart w:id="18" w:name="_Toc416699720"/>
      <w:bookmarkEnd w:id="15"/>
      <w:bookmarkEnd w:id="16"/>
      <w:bookmarkEnd w:id="17"/>
      <w:bookmarkEnd w:id="18"/>
    </w:p>
    <w:p w:rsidR="00EC2A74" w:rsidRDefault="00EC2A74" w:rsidP="0051170F">
      <w:pPr>
        <w:pStyle w:val="Subsection"/>
      </w:pPr>
      <w:bookmarkStart w:id="19" w:name="_Toc416699721"/>
      <w:r>
        <w:t>Descripción</w:t>
      </w:r>
      <w:bookmarkEnd w:id="19"/>
    </w:p>
    <w:p w:rsidR="006F0432" w:rsidRDefault="006F0432" w:rsidP="00167994">
      <w:pPr>
        <w:rPr>
          <w:color w:val="FF0000"/>
        </w:rPr>
      </w:pPr>
    </w:p>
    <w:p w:rsidR="00A66542" w:rsidRDefault="00EC2A74" w:rsidP="00167994">
      <w:pPr>
        <w:rPr>
          <w:color w:val="FF0000"/>
        </w:rPr>
      </w:pPr>
      <w:r w:rsidRPr="00EC2A74">
        <w:rPr>
          <w:color w:val="FF0000"/>
        </w:rPr>
        <w:t>PENDIENTE</w:t>
      </w:r>
    </w:p>
    <w:p w:rsidR="006F0432" w:rsidRPr="0036391F" w:rsidRDefault="006F0432" w:rsidP="00167994">
      <w:pPr>
        <w:rPr>
          <w:color w:val="FF0000"/>
        </w:rPr>
      </w:pPr>
    </w:p>
    <w:p w:rsidR="0036391F" w:rsidRDefault="00EC2A74" w:rsidP="0036391F">
      <w:pPr>
        <w:pStyle w:val="Subsection"/>
      </w:pPr>
      <w:bookmarkStart w:id="20" w:name="_Toc416699722"/>
      <w:r>
        <w:t>Pasos</w:t>
      </w:r>
      <w:bookmarkEnd w:id="20"/>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1" w:name="_Toc416699723"/>
      <w:r>
        <w:t>Origen y destino</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2" w:name="_Toc416699724"/>
      <w:r>
        <w:t>Áreas involucradas</w:t>
      </w:r>
      <w:bookmarkEnd w:id="22"/>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3" w:name="_Toc416699725"/>
      <w:r>
        <w:t>Diagrama general</w:t>
      </w:r>
      <w:bookmarkEnd w:id="23"/>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4" w:name="_Toc416699726"/>
      <w:r>
        <w:t>Herramientas</w:t>
      </w:r>
      <w:bookmarkEnd w:id="24"/>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5" w:name="_Toc416699727"/>
      <w:r>
        <w:t>Documentos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6" w:name="_Toc416699728"/>
      <w:r>
        <w:lastRenderedPageBreak/>
        <w:t>Dependencias y limitaciones</w:t>
      </w:r>
      <w:bookmarkEnd w:id="26"/>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7" w:name="_Toc416437183"/>
      <w:bookmarkStart w:id="28" w:name="_Toc416439230"/>
      <w:bookmarkStart w:id="29" w:name="_Toc416440177"/>
      <w:bookmarkStart w:id="30" w:name="_Toc416440282"/>
      <w:bookmarkStart w:id="31" w:name="_Toc416442254"/>
      <w:bookmarkStart w:id="32" w:name="_Toc416449139"/>
      <w:bookmarkStart w:id="33" w:name="_Toc416699729"/>
      <w:bookmarkEnd w:id="27"/>
      <w:bookmarkEnd w:id="28"/>
      <w:bookmarkEnd w:id="29"/>
      <w:bookmarkEnd w:id="30"/>
      <w:bookmarkEnd w:id="31"/>
      <w:bookmarkEnd w:id="32"/>
      <w:r>
        <w:t>ACTIVIDAD: Gestión de Leads y Oportunidades</w:t>
      </w:r>
      <w:bookmarkEnd w:id="33"/>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4" w:name="_Toc416439232"/>
      <w:bookmarkStart w:id="35" w:name="_Toc416440179"/>
      <w:bookmarkStart w:id="36" w:name="_Toc416440284"/>
      <w:bookmarkStart w:id="37" w:name="_Toc416442256"/>
      <w:bookmarkStart w:id="38" w:name="_Toc416449141"/>
      <w:bookmarkStart w:id="39" w:name="_Toc416686041"/>
      <w:bookmarkStart w:id="40" w:name="_Toc416686282"/>
      <w:bookmarkStart w:id="41" w:name="_Toc416695904"/>
      <w:bookmarkStart w:id="42" w:name="_Toc416699730"/>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End w:id="43"/>
      <w:bookmarkEnd w:id="44"/>
      <w:bookmarkEnd w:id="45"/>
      <w:bookmarkEnd w:id="46"/>
    </w:p>
    <w:p w:rsidR="00EC60E1" w:rsidRDefault="00EC60E1" w:rsidP="0051170F">
      <w:pPr>
        <w:pStyle w:val="Subsection"/>
        <w:numPr>
          <w:ilvl w:val="2"/>
          <w:numId w:val="12"/>
        </w:numPr>
      </w:pPr>
      <w:bookmarkStart w:id="47" w:name="_Toc416699732"/>
      <w:r>
        <w:t>Descripción</w:t>
      </w:r>
      <w:bookmarkEnd w:id="47"/>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8" w:name="_Toc416699733"/>
      <w:r>
        <w:t>Pasos</w:t>
      </w:r>
      <w:bookmarkEnd w:id="48"/>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9" w:name="_Toc416699734"/>
      <w:r>
        <w:lastRenderedPageBreak/>
        <w:t>Origen y destino</w:t>
      </w:r>
      <w:bookmarkEnd w:id="49"/>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0" w:name="_Toc416699735"/>
      <w:r>
        <w:t>Áreas involucradas</w:t>
      </w:r>
      <w:bookmarkEnd w:id="50"/>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1" w:name="_Toc416699736"/>
      <w:r>
        <w:t>Diagrama general</w:t>
      </w:r>
      <w:bookmarkEnd w:id="51"/>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2" w:name="_Toc416699737"/>
      <w:r>
        <w:t>Herramientas</w:t>
      </w:r>
      <w:bookmarkEnd w:id="52"/>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3" w:name="_Toc416699738"/>
      <w:r>
        <w:t>Documentos</w:t>
      </w:r>
      <w:bookmarkEnd w:id="53"/>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4" w:name="_Toc416699739"/>
      <w:r>
        <w:t>Dependencias y limitaciones</w:t>
      </w:r>
      <w:bookmarkEnd w:id="54"/>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5" w:name="_Toc416437062"/>
      <w:bookmarkStart w:id="56" w:name="_Toc416437185"/>
      <w:bookmarkStart w:id="57" w:name="_Toc416439243"/>
      <w:bookmarkStart w:id="58" w:name="_Toc416440190"/>
      <w:bookmarkStart w:id="59" w:name="_Toc416440295"/>
      <w:bookmarkStart w:id="60" w:name="_Toc416442267"/>
      <w:bookmarkStart w:id="61" w:name="_Toc416449152"/>
      <w:bookmarkStart w:id="62" w:name="_Toc416699740"/>
      <w:bookmarkEnd w:id="55"/>
      <w:bookmarkEnd w:id="56"/>
      <w:bookmarkEnd w:id="57"/>
      <w:bookmarkEnd w:id="58"/>
      <w:bookmarkEnd w:id="59"/>
      <w:bookmarkEnd w:id="60"/>
      <w:bookmarkEnd w:id="61"/>
      <w:r>
        <w:t xml:space="preserve">ACTIVIDAD: </w:t>
      </w:r>
      <w:r w:rsidR="002A4A10" w:rsidRPr="002A4A10">
        <w:t>Flujo de Ventas</w:t>
      </w:r>
      <w:bookmarkEnd w:id="62"/>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rsidR="00BF0F00">
        <w:t>los</w:t>
      </w:r>
      <w:r>
        <w:t>),</w:t>
      </w:r>
      <w:r w:rsidR="00232665">
        <w:t xml:space="preserve"> se prosigue con la elaboración de la oferta.</w:t>
      </w:r>
      <w:r>
        <w:t xml:space="preserve"> </w:t>
      </w:r>
      <w:r w:rsidR="00232665">
        <w:t xml:space="preserve">Finalmente habrá que </w:t>
      </w:r>
      <w:r>
        <w:rPr>
          <w:b/>
        </w:rPr>
        <w:t xml:space="preserve">Guardar PDF y Enviar Oferta </w:t>
      </w:r>
      <w:r>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lastRenderedPageBreak/>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5">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A1F" w:rsidRDefault="00617A1F" w:rsidP="00167994">
      <w:r>
        <w:separator/>
      </w:r>
    </w:p>
  </w:endnote>
  <w:endnote w:type="continuationSeparator" w:id="0">
    <w:p w:rsidR="00617A1F" w:rsidRDefault="00617A1F"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936128">
      <w:rPr>
        <w:rFonts w:ascii="Arial" w:eastAsia="Times New Roman" w:hAnsi="Arial"/>
        <w:noProof/>
        <w:sz w:val="20"/>
        <w:szCs w:val="20"/>
        <w:lang w:val="x-none"/>
      </w:rPr>
      <w:t>21</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sidR="00936128">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936128">
            <w:rPr>
              <w:rFonts w:ascii="Arial" w:eastAsia="Times New Roman" w:hAnsi="Arial"/>
              <w:noProof/>
              <w:sz w:val="18"/>
              <w:szCs w:val="20"/>
              <w:lang w:eastAsia="es-ES"/>
            </w:rPr>
            <w:t>21</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936128">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A1F" w:rsidRDefault="00617A1F" w:rsidP="00167994">
      <w:r>
        <w:separator/>
      </w:r>
    </w:p>
  </w:footnote>
  <w:footnote w:type="continuationSeparator" w:id="0">
    <w:p w:rsidR="00617A1F" w:rsidRDefault="00617A1F"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50DC"/>
    <w:rsid w:val="0066456C"/>
    <w:rsid w:val="00667AC3"/>
    <w:rsid w:val="0068482A"/>
    <w:rsid w:val="00691895"/>
    <w:rsid w:val="006936B1"/>
    <w:rsid w:val="006A1FA0"/>
    <w:rsid w:val="006A3FB9"/>
    <w:rsid w:val="006C2271"/>
    <w:rsid w:val="006D70B1"/>
    <w:rsid w:val="006E7AE6"/>
    <w:rsid w:val="006F01EC"/>
    <w:rsid w:val="006F0432"/>
    <w:rsid w:val="006F5B78"/>
    <w:rsid w:val="006F6A79"/>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D41B3"/>
    <w:rsid w:val="008E31E7"/>
    <w:rsid w:val="008F745F"/>
    <w:rsid w:val="00904E4E"/>
    <w:rsid w:val="00906A7C"/>
    <w:rsid w:val="009210C6"/>
    <w:rsid w:val="00923F99"/>
    <w:rsid w:val="00936128"/>
    <w:rsid w:val="00936261"/>
    <w:rsid w:val="0095446E"/>
    <w:rsid w:val="00995072"/>
    <w:rsid w:val="009A72B6"/>
    <w:rsid w:val="009D2EC9"/>
    <w:rsid w:val="009D4D93"/>
    <w:rsid w:val="009E226E"/>
    <w:rsid w:val="009E6725"/>
    <w:rsid w:val="009F664E"/>
    <w:rsid w:val="009F67C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E48AD"/>
    <w:rsid w:val="00BF0F00"/>
    <w:rsid w:val="00C23F58"/>
    <w:rsid w:val="00C259D8"/>
    <w:rsid w:val="00C274F7"/>
    <w:rsid w:val="00C323A7"/>
    <w:rsid w:val="00C51A48"/>
    <w:rsid w:val="00C53C2A"/>
    <w:rsid w:val="00C62FC5"/>
    <w:rsid w:val="00C641DF"/>
    <w:rsid w:val="00C648A5"/>
    <w:rsid w:val="00C740B2"/>
    <w:rsid w:val="00C87E99"/>
    <w:rsid w:val="00C917FD"/>
    <w:rsid w:val="00CA7307"/>
    <w:rsid w:val="00CB0258"/>
    <w:rsid w:val="00D258FF"/>
    <w:rsid w:val="00D3203B"/>
    <w:rsid w:val="00D74E38"/>
    <w:rsid w:val="00DA0164"/>
    <w:rsid w:val="00E0554D"/>
    <w:rsid w:val="00E156B1"/>
    <w:rsid w:val="00E16DF9"/>
    <w:rsid w:val="00E17267"/>
    <w:rsid w:val="00E342C4"/>
    <w:rsid w:val="00E349C0"/>
    <w:rsid w:val="00E3677A"/>
    <w:rsid w:val="00E73602"/>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07BA-3A2D-4698-AB85-051043F7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3</cp:revision>
  <cp:lastPrinted>2015-04-13T11:43:00Z</cp:lastPrinted>
  <dcterms:created xsi:type="dcterms:W3CDTF">2015-04-13T13:21:00Z</dcterms:created>
  <dcterms:modified xsi:type="dcterms:W3CDTF">2015-04-13T13:23:00Z</dcterms:modified>
</cp:coreProperties>
</file>