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bookmarkStart w:id="0" w:name="_GoBack"/>
      <w:bookmarkEnd w:id="0"/>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Capítulo 2 – Presentación del Proyecto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E6411B"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E6411B" w:rsidRPr="00924D07">
        <w:rPr>
          <w:noProof/>
          <w:lang w:val="es-ES_tradnl"/>
        </w:rPr>
        <w:t>2</w:t>
      </w:r>
      <w:r w:rsidR="00E6411B">
        <w:rPr>
          <w:rFonts w:asciiTheme="minorHAnsi" w:eastAsiaTheme="minorEastAsia" w:hAnsiTheme="minorHAnsi" w:cstheme="minorBidi"/>
          <w:b w:val="0"/>
          <w:noProof/>
          <w:sz w:val="22"/>
          <w:szCs w:val="22"/>
        </w:rPr>
        <w:tab/>
      </w:r>
      <w:r w:rsidR="00E6411B" w:rsidRPr="00924D07">
        <w:rPr>
          <w:noProof/>
          <w:lang w:val="es-ES_tradnl"/>
        </w:rPr>
        <w:t>PRESENTACIÓN DEL PROYECTO CRM (IPT FOTOVOLTAICA)</w:t>
      </w:r>
      <w:r w:rsidR="00E6411B">
        <w:rPr>
          <w:noProof/>
        </w:rPr>
        <w:tab/>
      </w:r>
      <w:r w:rsidR="00E6411B">
        <w:rPr>
          <w:noProof/>
        </w:rPr>
        <w:fldChar w:fldCharType="begin"/>
      </w:r>
      <w:r w:rsidR="00E6411B">
        <w:rPr>
          <w:noProof/>
        </w:rPr>
        <w:instrText xml:space="preserve"> PAGEREF _Toc417298592 \h </w:instrText>
      </w:r>
      <w:r w:rsidR="00E6411B">
        <w:rPr>
          <w:noProof/>
        </w:rPr>
      </w:r>
      <w:r w:rsidR="00E6411B">
        <w:rPr>
          <w:noProof/>
        </w:rPr>
        <w:fldChar w:fldCharType="separate"/>
      </w:r>
      <w:r w:rsidR="00E6411B">
        <w:rPr>
          <w:noProof/>
        </w:rPr>
        <w:t>4</w:t>
      </w:r>
      <w:r w:rsidR="00E6411B">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sidRPr="00924D07">
        <w:rPr>
          <w:noProof/>
          <w:lang w:val="es-ES_tradnl"/>
        </w:rPr>
        <w:t>2.1</w:t>
      </w:r>
      <w:r>
        <w:rPr>
          <w:rFonts w:asciiTheme="minorHAnsi" w:eastAsiaTheme="minorEastAsia" w:hAnsiTheme="minorHAnsi" w:cstheme="minorBidi"/>
          <w:noProof/>
          <w:sz w:val="22"/>
          <w:szCs w:val="22"/>
        </w:rPr>
        <w:tab/>
      </w:r>
      <w:r w:rsidRPr="00924D07">
        <w:rPr>
          <w:noProof/>
          <w:lang w:val="es-ES_tradnl"/>
        </w:rPr>
        <w:t>Ámbito de Aplicación/Actuación</w:t>
      </w:r>
      <w:r>
        <w:rPr>
          <w:noProof/>
        </w:rPr>
        <w:tab/>
      </w:r>
      <w:r>
        <w:rPr>
          <w:noProof/>
        </w:rPr>
        <w:fldChar w:fldCharType="begin"/>
      </w:r>
      <w:r>
        <w:rPr>
          <w:noProof/>
        </w:rPr>
        <w:instrText xml:space="preserve"> PAGEREF _Toc417298593 \h </w:instrText>
      </w:r>
      <w:r>
        <w:rPr>
          <w:noProof/>
        </w:rPr>
      </w:r>
      <w:r>
        <w:rPr>
          <w:noProof/>
        </w:rPr>
        <w:fldChar w:fldCharType="separate"/>
      </w:r>
      <w:r>
        <w:rPr>
          <w:noProof/>
        </w:rPr>
        <w:t>4</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sidRPr="00924D07">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_Toc417298594 \h </w:instrText>
      </w:r>
      <w:r>
        <w:rPr>
          <w:noProof/>
        </w:rPr>
      </w:r>
      <w:r>
        <w:rPr>
          <w:noProof/>
        </w:rPr>
        <w:fldChar w:fldCharType="separate"/>
      </w:r>
      <w:r>
        <w:rPr>
          <w:noProof/>
        </w:rPr>
        <w:t>6</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_Toc417298595 \h </w:instrText>
      </w:r>
      <w:r>
        <w:rPr>
          <w:noProof/>
        </w:rPr>
      </w:r>
      <w:r>
        <w:rPr>
          <w:noProof/>
        </w:rPr>
        <w:fldChar w:fldCharType="separate"/>
      </w:r>
      <w:r>
        <w:rPr>
          <w:noProof/>
        </w:rPr>
        <w:t>8</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_Toc417298596 \h </w:instrText>
      </w:r>
      <w:r>
        <w:rPr>
          <w:noProof/>
        </w:rPr>
      </w:r>
      <w:r>
        <w:rPr>
          <w:noProof/>
        </w:rPr>
        <w:fldChar w:fldCharType="separate"/>
      </w:r>
      <w:r>
        <w:rPr>
          <w:noProof/>
        </w:rPr>
        <w:t>8</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66D9A" w:rsidRPr="00471562" w:rsidRDefault="0070212E" w:rsidP="00766D9A">
      <w:pPr>
        <w:rPr>
          <w:rFonts w:eastAsia="Times New Roman"/>
          <w:b/>
          <w:szCs w:val="20"/>
          <w:lang w:val="es-ES_tradnl" w:eastAsia="es-ES"/>
        </w:rPr>
      </w:pPr>
      <w:r w:rsidRPr="00471562">
        <w:rPr>
          <w:rFonts w:eastAsia="Times New Roman"/>
          <w:szCs w:val="20"/>
          <w:lang w:val="es-ES_tradnl" w:eastAsia="es-ES"/>
        </w:rPr>
        <w:br w:type="page"/>
      </w:r>
      <w:bookmarkEnd w:id="1"/>
      <w:bookmarkEnd w:id="2"/>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3" w:name="_Toc414217434"/>
      <w:bookmarkStart w:id="4" w:name="_Toc417298592"/>
      <w:r>
        <w:rPr>
          <w:lang w:val="es-ES_tradnl"/>
        </w:rPr>
        <w:t>PRESENTACIÓN DEL PROYECTO CRM (IPT FOTOVOLTAICA)</w:t>
      </w:r>
      <w:bookmarkEnd w:id="3"/>
      <w:bookmarkEnd w:id="4"/>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5" w:name="_Toc414217435"/>
      <w:bookmarkStart w:id="6" w:name="_Toc417298593"/>
      <w:r>
        <w:rPr>
          <w:lang w:val="es-ES_tradnl"/>
        </w:rPr>
        <w:t>Ámbito de Aplicación/Actuación</w:t>
      </w:r>
      <w:bookmarkEnd w:id="5"/>
      <w:bookmarkEnd w:id="6"/>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766D9A">
      <w:pPr>
        <w:pStyle w:val="Prrafodelista"/>
        <w:numPr>
          <w:ilvl w:val="0"/>
          <w:numId w:val="52"/>
        </w:numPr>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766D9A">
        <w:rPr>
          <w:b/>
        </w:rPr>
        <w:t xml:space="preserve">Business </w:t>
      </w:r>
      <w:proofErr w:type="spellStart"/>
      <w:r w:rsidRPr="00766D9A">
        <w:rPr>
          <w:b/>
        </w:rPr>
        <w:t>Unit</w:t>
      </w:r>
      <w:proofErr w:type="spellEnd"/>
      <w:r w:rsidRPr="00766D9A">
        <w:rPr>
          <w:b/>
        </w:rPr>
        <w:t xml:space="preserve"> </w:t>
      </w:r>
      <w:r w:rsidRPr="00014B6B">
        <w:t>-</w:t>
      </w:r>
      <w:r w:rsidRPr="00766D9A">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t xml:space="preserve">– Ciertos mercados se abordan de forma directa con empleados propios a través de </w:t>
      </w:r>
      <w:r w:rsidRPr="002F6764">
        <w:t xml:space="preserve">delegaciones </w:t>
      </w:r>
      <w:r>
        <w:t>y home-</w:t>
      </w:r>
      <w:proofErr w:type="spellStart"/>
      <w:r>
        <w:t>offices</w:t>
      </w:r>
      <w:proofErr w:type="spellEnd"/>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proofErr w:type="spellStart"/>
      <w:r>
        <w:rPr>
          <w:lang w:val="en-US"/>
        </w:rPr>
        <w:t>Sudáfrica</w:t>
      </w:r>
      <w:proofErr w:type="spellEnd"/>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766D9A"/>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7" w:name="_Toc414217436"/>
      <w:bookmarkStart w:id="8" w:name="_Toc417298594"/>
      <w:r>
        <w:t>Objetivos Generales del Proyecto CRM</w:t>
      </w:r>
      <w:bookmarkEnd w:id="7"/>
      <w:bookmarkEnd w:id="8"/>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9" w:name="_Toc414217437"/>
      <w:bookmarkStart w:id="10" w:name="_Toc417298595"/>
      <w:r>
        <w:t>Objetivos Funcionales del CRM</w:t>
      </w:r>
      <w:bookmarkEnd w:id="9"/>
      <w:bookmarkEnd w:id="10"/>
    </w:p>
    <w:p w:rsidR="00DA3CD8" w:rsidRDefault="00DA3CD8" w:rsidP="00DA3CD8"/>
    <w:p w:rsidR="00DA3CD8" w:rsidRDefault="00DA3CD8" w:rsidP="00DA3CD8">
      <w:r>
        <w:t>Existen una serie de objetivos funcionales para los cuales la expectativa es que el CRM los cumpla:</w:t>
      </w:r>
    </w:p>
    <w:p w:rsidR="00DA3CD8" w:rsidRDefault="00DA3CD8" w:rsidP="00DA3CD8"/>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 xml:space="preserve">Asistente para los procesos de venta (basado en el capítulo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7298596"/>
      <w:r>
        <w:t>Metodología de Desarrollo del Software para el CRM</w:t>
      </w:r>
      <w:bookmarkEnd w:id="11"/>
      <w:bookmarkEnd w:id="12"/>
    </w:p>
    <w:p w:rsidR="00DA3CD8" w:rsidRDefault="00DA3CD8" w:rsidP="00DA3CD8"/>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 w:rsidR="00DA3CD8" w:rsidRPr="005A055D" w:rsidRDefault="00DA3CD8" w:rsidP="00DA3CD8"/>
    <w:p w:rsidR="00766D9A" w:rsidRDefault="00766D9A" w:rsidP="00766D9A">
      <w:pPr>
        <w:jc w:val="left"/>
        <w:rPr>
          <w:b/>
        </w:rPr>
      </w:pPr>
      <w:r>
        <w:rPr>
          <w:b/>
        </w:rPr>
        <w:br w:type="page"/>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766D9A" w:rsidRPr="00965419" w:rsidRDefault="00766D9A" w:rsidP="009321E6">
            <w:pPr>
              <w:rPr>
                <w:sz w:val="22"/>
              </w:rPr>
            </w:pPr>
            <w:r w:rsidRPr="00965419">
              <w:rPr>
                <w:sz w:val="22"/>
              </w:rPr>
              <w:t>Documento de Análisis (DA)</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even" r:id="rId18"/>
      <w:headerReference w:type="default" r:id="rId19"/>
      <w:footerReference w:type="even" r:id="rId20"/>
      <w:footerReference w:type="default" r:id="rId21"/>
      <w:headerReference w:type="first" r:id="rId22"/>
      <w:footerReference w:type="first" r:id="rId23"/>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73B" w:rsidRDefault="0089773B">
      <w:r>
        <w:separator/>
      </w:r>
    </w:p>
  </w:endnote>
  <w:endnote w:type="continuationSeparator" w:id="0">
    <w:p w:rsidR="0089773B" w:rsidRDefault="0089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9C53E0" w:rsidRPr="009C53E0">
            <w:rPr>
              <w:noProof/>
              <w:sz w:val="14"/>
              <w:szCs w:val="16"/>
              <w:lang w:val="en-US" w:eastAsia="es-ES"/>
            </w:rPr>
            <w:t>IPT_ACRM_DA_Cap02_150413.docx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C970C1">
            <w:rPr>
              <w:noProof/>
              <w:sz w:val="18"/>
              <w:lang w:eastAsia="es-ES"/>
            </w:rPr>
            <w:t>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C970C1">
            <w:rPr>
              <w:noProof/>
              <w:sz w:val="14"/>
              <w:szCs w:val="16"/>
              <w:lang w:eastAsia="es-ES"/>
            </w:rPr>
            <w:t>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73B" w:rsidRDefault="0089773B">
      <w:r>
        <w:separator/>
      </w:r>
    </w:p>
  </w:footnote>
  <w:footnote w:type="continuationSeparator" w:id="0">
    <w:p w:rsidR="0089773B" w:rsidRDefault="00897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FB0" w:rsidRDefault="00A91F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49"/>
  </w:num>
  <w:num w:numId="8">
    <w:abstractNumId w:val="45"/>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48"/>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7"/>
  </w:num>
  <w:num w:numId="24">
    <w:abstractNumId w:val="14"/>
  </w:num>
  <w:num w:numId="25">
    <w:abstractNumId w:val="23"/>
  </w:num>
  <w:num w:numId="26">
    <w:abstractNumId w:val="5"/>
  </w:num>
  <w:num w:numId="27">
    <w:abstractNumId w:val="6"/>
  </w:num>
  <w:num w:numId="28">
    <w:abstractNumId w:val="50"/>
  </w:num>
  <w:num w:numId="29">
    <w:abstractNumId w:val="46"/>
  </w:num>
  <w:num w:numId="30">
    <w:abstractNumId w:val="41"/>
  </w:num>
  <w:num w:numId="31">
    <w:abstractNumId w:val="33"/>
  </w:num>
  <w:num w:numId="32">
    <w:abstractNumId w:val="7"/>
  </w:num>
  <w:num w:numId="33">
    <w:abstractNumId w:val="31"/>
  </w:num>
  <w:num w:numId="34">
    <w:abstractNumId w:val="9"/>
  </w:num>
  <w:num w:numId="35">
    <w:abstractNumId w:val="44"/>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3"/>
  </w:num>
  <w:num w:numId="50">
    <w:abstractNumId w:val="15"/>
  </w:num>
  <w:num w:numId="51">
    <w:abstractNumId w:val="39"/>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2905"/>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3CC3"/>
    <w:rsid w:val="00773DE2"/>
    <w:rsid w:val="00775E42"/>
    <w:rsid w:val="0077694D"/>
    <w:rsid w:val="007814BD"/>
    <w:rsid w:val="00781CDC"/>
    <w:rsid w:val="00781E2C"/>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1D3"/>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9773B"/>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1FB0"/>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3973"/>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11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9A1960A3-771C-44FE-8D40-A694D07B01C7}" type="presOf" srcId="{6B87D981-F6AF-4EDF-AD4B-01CA9FD52720}" destId="{F4F602E8-33AC-410D-99DF-E71EB674B20A}"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2C7CBA69-3F22-490F-B016-51690A52EB03}" type="presOf" srcId="{F97EF826-CAAF-475A-9E2A-DE1FB35024D0}" destId="{01363AC6-550F-4CB8-A16A-3D4A6EB74024}" srcOrd="0" destOrd="0" presId="urn:microsoft.com/office/officeart/2005/8/layout/radial1"/>
    <dgm:cxn modelId="{2BD34CDB-8898-4008-ACA7-B9BDA3EE685A}" type="presOf" srcId="{F3A58A28-9A73-4A3A-A044-373A6982561F}" destId="{69B7A1E2-A9C4-455C-A798-CD5A29942CA0}" srcOrd="0" destOrd="0" presId="urn:microsoft.com/office/officeart/2005/8/layout/radial1"/>
    <dgm:cxn modelId="{0D819F2C-48F7-4CE6-B1ED-413DAB6B7899}" type="presOf" srcId="{8B70A983-986E-4064-B744-4DF6D0DCEB7E}" destId="{B77E6B6B-BA00-4EAB-9C80-CDEBEE0330B0}" srcOrd="0" destOrd="0" presId="urn:microsoft.com/office/officeart/2005/8/layout/radial1"/>
    <dgm:cxn modelId="{90C6FB39-7F4B-486F-88F2-96CB727FB8D2}" type="presOf" srcId="{2B681A95-8CD6-4A14-8BD0-173FFA936EA9}" destId="{889D2746-DEF9-4CD7-89A1-9C92260B57CE}" srcOrd="0" destOrd="0" presId="urn:microsoft.com/office/officeart/2005/8/layout/radial1"/>
    <dgm:cxn modelId="{BB700E11-BD26-4CD8-8BE0-9665A11F5A04}" type="presOf" srcId="{24833AD9-0E0C-4197-9845-E7C45B9D2D9B}" destId="{63767140-CA71-4361-B410-FA74A3B44E24}" srcOrd="0" destOrd="0" presId="urn:microsoft.com/office/officeart/2005/8/layout/radial1"/>
    <dgm:cxn modelId="{F23FE55F-64AB-4AEC-BCD7-1C9167B9BD2B}" type="presOf" srcId="{58845A1D-42FC-407A-A25F-60373C78C4AB}" destId="{EAA56543-3CB6-4CB0-8ECC-6528D350BAD5}" srcOrd="1"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B4894A49-ED98-43A8-A59D-5499D34A4959}" type="presOf" srcId="{EAC953CE-CB8D-4F59-9457-C22A2BE7917B}" destId="{441D33A2-068D-48B5-B4E2-544AE8256D9F}" srcOrd="0" destOrd="0" presId="urn:microsoft.com/office/officeart/2005/8/layout/radial1"/>
    <dgm:cxn modelId="{57AFED13-CD7C-4471-B359-2E955D74C2E5}" type="presOf" srcId="{58845A1D-42FC-407A-A25F-60373C78C4AB}" destId="{487C1409-0640-4E54-ACC8-8AC2F1D0D586}" srcOrd="0" destOrd="0" presId="urn:microsoft.com/office/officeart/2005/8/layout/radial1"/>
    <dgm:cxn modelId="{F7BFB357-B7B1-4F0C-961F-0BF594C9CF23}" type="presOf" srcId="{732512C4-0A19-4744-8D92-14AC02AAB41D}" destId="{D80E202F-99DD-443F-925E-D08D9EFF945C}" srcOrd="0" destOrd="0" presId="urn:microsoft.com/office/officeart/2005/8/layout/radial1"/>
    <dgm:cxn modelId="{EC3F3EED-E55C-4354-BA0A-307B1987DBBC}" type="presOf" srcId="{8B70A983-986E-4064-B744-4DF6D0DCEB7E}" destId="{3DF261EE-E0E9-4C73-B3EA-ACE25FAACB56}" srcOrd="1" destOrd="0" presId="urn:microsoft.com/office/officeart/2005/8/layout/radial1"/>
    <dgm:cxn modelId="{5414CD29-8F91-4F5F-847C-077850FEAC12}" type="presOf" srcId="{625FF793-5612-43C9-AFFD-640B616EF0AD}" destId="{5FEB876D-EBE1-4F3C-B528-900CC7A0A880}" srcOrd="1" destOrd="0" presId="urn:microsoft.com/office/officeart/2005/8/layout/radial1"/>
    <dgm:cxn modelId="{949A0862-3BAE-480A-A82E-75CC9DD4EE24}" type="presOf" srcId="{66FC08AF-E6E9-466D-8E4D-C175707A883F}" destId="{5E6979D2-9606-4BF0-A2B6-8E1100362F0A}" srcOrd="1"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E8297315-3BA9-4437-8166-0F6D6EB87B03}" type="presOf" srcId="{732512C4-0A19-4744-8D92-14AC02AAB41D}" destId="{BD0D724D-68D2-4446-94CB-73D45F297E6D}" srcOrd="1" destOrd="0" presId="urn:microsoft.com/office/officeart/2005/8/layout/radial1"/>
    <dgm:cxn modelId="{8465CD97-183A-49C9-ACF2-33B4B77D20F6}" type="presOf" srcId="{1D68D5CB-D839-4BC3-AF2D-8D6B39BD9EFD}" destId="{E085ADC8-7695-4E34-8CA2-C26528EDDFF7}" srcOrd="0" destOrd="0" presId="urn:microsoft.com/office/officeart/2005/8/layout/radial1"/>
    <dgm:cxn modelId="{E0049F97-7AA4-4EBA-9545-0553061A91DB}" type="presOf" srcId="{625FF793-5612-43C9-AFFD-640B616EF0AD}" destId="{8183BFAD-3B74-4F71-B638-400EE6EF2C8A}"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E03E3C48-B635-4142-AD46-90520208F7B6}" type="presOf" srcId="{66FC08AF-E6E9-466D-8E4D-C175707A883F}" destId="{97A91AF4-4269-4A16-B78A-6631366DEFA6}" srcOrd="0" destOrd="0" presId="urn:microsoft.com/office/officeart/2005/8/layout/radial1"/>
    <dgm:cxn modelId="{DA778356-F2D2-492B-952F-C4136170AF1F}" type="presParOf" srcId="{69B7A1E2-A9C4-455C-A798-CD5A29942CA0}" destId="{E085ADC8-7695-4E34-8CA2-C26528EDDFF7}" srcOrd="0" destOrd="0" presId="urn:microsoft.com/office/officeart/2005/8/layout/radial1"/>
    <dgm:cxn modelId="{987E82FE-9F60-441B-83E9-8944FC393C10}" type="presParOf" srcId="{69B7A1E2-A9C4-455C-A798-CD5A29942CA0}" destId="{97A91AF4-4269-4A16-B78A-6631366DEFA6}" srcOrd="1" destOrd="0" presId="urn:microsoft.com/office/officeart/2005/8/layout/radial1"/>
    <dgm:cxn modelId="{C08F6D58-4937-49E8-8C8D-5F3AD82DA8BF}" type="presParOf" srcId="{97A91AF4-4269-4A16-B78A-6631366DEFA6}" destId="{5E6979D2-9606-4BF0-A2B6-8E1100362F0A}" srcOrd="0" destOrd="0" presId="urn:microsoft.com/office/officeart/2005/8/layout/radial1"/>
    <dgm:cxn modelId="{F0864BC3-4F3B-4C2D-81D0-A27B8335FD44}" type="presParOf" srcId="{69B7A1E2-A9C4-455C-A798-CD5A29942CA0}" destId="{F4F602E8-33AC-410D-99DF-E71EB674B20A}" srcOrd="2" destOrd="0" presId="urn:microsoft.com/office/officeart/2005/8/layout/radial1"/>
    <dgm:cxn modelId="{90BDFE13-40CC-4244-B07A-F322619D385D}" type="presParOf" srcId="{69B7A1E2-A9C4-455C-A798-CD5A29942CA0}" destId="{B77E6B6B-BA00-4EAB-9C80-CDEBEE0330B0}" srcOrd="3" destOrd="0" presId="urn:microsoft.com/office/officeart/2005/8/layout/radial1"/>
    <dgm:cxn modelId="{AE5BBB06-B297-45AF-A760-6AF4504789AA}" type="presParOf" srcId="{B77E6B6B-BA00-4EAB-9C80-CDEBEE0330B0}" destId="{3DF261EE-E0E9-4C73-B3EA-ACE25FAACB56}" srcOrd="0" destOrd="0" presId="urn:microsoft.com/office/officeart/2005/8/layout/radial1"/>
    <dgm:cxn modelId="{E9504604-FB1A-41E6-9146-687D40A1054B}" type="presParOf" srcId="{69B7A1E2-A9C4-455C-A798-CD5A29942CA0}" destId="{889D2746-DEF9-4CD7-89A1-9C92260B57CE}" srcOrd="4" destOrd="0" presId="urn:microsoft.com/office/officeart/2005/8/layout/radial1"/>
    <dgm:cxn modelId="{DA607789-E814-4C24-95FD-7E090F45FBCE}" type="presParOf" srcId="{69B7A1E2-A9C4-455C-A798-CD5A29942CA0}" destId="{8183BFAD-3B74-4F71-B638-400EE6EF2C8A}" srcOrd="5" destOrd="0" presId="urn:microsoft.com/office/officeart/2005/8/layout/radial1"/>
    <dgm:cxn modelId="{B131B2B6-6B8C-4904-9FC5-65FE9AE077D5}" type="presParOf" srcId="{8183BFAD-3B74-4F71-B638-400EE6EF2C8A}" destId="{5FEB876D-EBE1-4F3C-B528-900CC7A0A880}" srcOrd="0" destOrd="0" presId="urn:microsoft.com/office/officeart/2005/8/layout/radial1"/>
    <dgm:cxn modelId="{9527006D-93BF-4A11-A37C-5BCA64B9D163}" type="presParOf" srcId="{69B7A1E2-A9C4-455C-A798-CD5A29942CA0}" destId="{441D33A2-068D-48B5-B4E2-544AE8256D9F}" srcOrd="6" destOrd="0" presId="urn:microsoft.com/office/officeart/2005/8/layout/radial1"/>
    <dgm:cxn modelId="{9B65D771-CB23-4B49-8DB5-CB6601ED3205}" type="presParOf" srcId="{69B7A1E2-A9C4-455C-A798-CD5A29942CA0}" destId="{D80E202F-99DD-443F-925E-D08D9EFF945C}" srcOrd="7" destOrd="0" presId="urn:microsoft.com/office/officeart/2005/8/layout/radial1"/>
    <dgm:cxn modelId="{DE74602D-ACBC-408B-95F1-EA203CC43AEA}" type="presParOf" srcId="{D80E202F-99DD-443F-925E-D08D9EFF945C}" destId="{BD0D724D-68D2-4446-94CB-73D45F297E6D}" srcOrd="0" destOrd="0" presId="urn:microsoft.com/office/officeart/2005/8/layout/radial1"/>
    <dgm:cxn modelId="{347A411E-F744-4D78-A228-75DCB2AFEB59}" type="presParOf" srcId="{69B7A1E2-A9C4-455C-A798-CD5A29942CA0}" destId="{63767140-CA71-4361-B410-FA74A3B44E24}" srcOrd="8" destOrd="0" presId="urn:microsoft.com/office/officeart/2005/8/layout/radial1"/>
    <dgm:cxn modelId="{27055821-9363-4684-8284-959CF5311300}" type="presParOf" srcId="{69B7A1E2-A9C4-455C-A798-CD5A29942CA0}" destId="{487C1409-0640-4E54-ACC8-8AC2F1D0D586}" srcOrd="9" destOrd="0" presId="urn:microsoft.com/office/officeart/2005/8/layout/radial1"/>
    <dgm:cxn modelId="{7887916F-37EF-4890-B6FE-960E6674F374}" type="presParOf" srcId="{487C1409-0640-4E54-ACC8-8AC2F1D0D586}" destId="{EAA56543-3CB6-4CB0-8ECC-6528D350BAD5}" srcOrd="0" destOrd="0" presId="urn:microsoft.com/office/officeart/2005/8/layout/radial1"/>
    <dgm:cxn modelId="{DFFD6255-4362-4CFA-8829-4A918AA7103D}"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54675263-E0F1-480A-A759-F23721DC3C3C}" type="presOf" srcId="{C6E95321-E7B9-4446-A608-00B730CFF95A}" destId="{DC4BD9DA-F315-443F-A4F6-21DDAA60BA09}"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407AA83D-21E3-4066-ACB7-3785EC85F4D3}" type="presOf" srcId="{B1232D3A-1177-4567-AC84-A2193DA64270}" destId="{C899BCF8-16F7-443C-9454-8A46C45852FE}" srcOrd="1" destOrd="0" presId="urn:microsoft.com/office/officeart/2005/8/layout/radial1"/>
    <dgm:cxn modelId="{1D80F90B-7D5D-40BB-83D1-7688BF3BDE1D}" type="presOf" srcId="{A7EBA2E4-07B6-41F9-9AFC-3A4615E6E006}" destId="{89B7C4FC-22B3-4A39-B8A4-0601801F536E}" srcOrd="0" destOrd="0" presId="urn:microsoft.com/office/officeart/2005/8/layout/radial1"/>
    <dgm:cxn modelId="{7102E1F2-CC84-4CD9-94C6-5ED026B88A5F}" type="presOf" srcId="{F4E2CBB8-6E84-47D9-9DDA-8B64B10D1083}" destId="{14D7ED0C-9451-4F8F-9A91-497F794C01C8}" srcOrd="1" destOrd="0" presId="urn:microsoft.com/office/officeart/2005/8/layout/radial1"/>
    <dgm:cxn modelId="{D8506D11-E167-4617-A184-681BD4C1869D}" type="presOf" srcId="{F4E2CBB8-6E84-47D9-9DDA-8B64B10D1083}" destId="{9C9B17F3-E666-4A38-99BE-B0666A3E7631}" srcOrd="0" destOrd="0" presId="urn:microsoft.com/office/officeart/2005/8/layout/radial1"/>
    <dgm:cxn modelId="{1442A3E9-FDC7-4350-9DD5-F61BD7E64E9F}" type="presOf" srcId="{1E9922E8-E24A-4A9D-9275-EC0447F65168}" destId="{011D7E36-EF66-41CA-94B9-B2C644379AFE}"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3E18BEF7-9FCC-4909-B0FD-418D9532120F}" type="presOf" srcId="{D242AC3A-3151-4E89-A5FF-73E2DB7234F4}" destId="{DC0AB66C-A6A9-44D3-B2B9-41CEEFDB1ED0}" srcOrd="1"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4C77D4A-C155-4592-9193-E5650FF406AA}" type="presOf" srcId="{B1232D3A-1177-4567-AC84-A2193DA64270}" destId="{3557B5FD-010B-4360-8ECC-5F0CD0CE5D93}" srcOrd="0" destOrd="0" presId="urn:microsoft.com/office/officeart/2005/8/layout/radial1"/>
    <dgm:cxn modelId="{7002809B-4080-4FB0-B928-FA54FE7D70D5}" type="presOf" srcId="{A7EBA2E4-07B6-41F9-9AFC-3A4615E6E006}" destId="{345B5FE1-6C8C-471D-A881-057D426F8145}" srcOrd="1"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CDC8F856-1E57-4B00-A89B-85E874C9BBB8}" type="presOf" srcId="{FF9954A5-6F76-4F1B-8442-B3A8C6FFAF21}" destId="{9C1D9066-1FB3-4EC9-A1DF-F66F0A11CCE8}" srcOrd="0" destOrd="0" presId="urn:microsoft.com/office/officeart/2005/8/layout/radial1"/>
    <dgm:cxn modelId="{ABF9736C-6079-4695-90FC-3F3A01702D3D}" type="presOf" srcId="{97F211C9-D6CD-493D-A7CF-9E2E2EE194CD}" destId="{1372E371-53B4-4528-B770-3CC03FDE05EC}" srcOrd="0" destOrd="0" presId="urn:microsoft.com/office/officeart/2005/8/layout/radial1"/>
    <dgm:cxn modelId="{31A1D073-14CB-4977-AA36-7DD8F8419AE3}" type="presOf" srcId="{4F37C6BC-0DE1-4CBD-BA6B-E26C17B45431}" destId="{04E17C38-6FBF-48F3-B04A-2303E14F89B4}"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73BD5857-123F-407F-83E6-F1B9EC4CCCDE}" type="presOf" srcId="{34D9B9DB-6FAF-4DA3-9DFB-975A53BACF21}" destId="{11D1338D-BDBD-4DAB-A8CC-C508D5BB0D05}"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DCD7FA5B-405B-4C7F-9C73-850C0623AE15}" type="presOf" srcId="{DD53E2F8-7530-43E2-BF11-74F4A65E8071}" destId="{772C7A5D-AF62-4079-9590-3C888B5364B0}" srcOrd="0" destOrd="0" presId="urn:microsoft.com/office/officeart/2005/8/layout/radial1"/>
    <dgm:cxn modelId="{682C496A-8EAB-4530-837A-9519AF94944E}" type="presOf" srcId="{C0001D5B-2CA1-46EE-8E60-5F09F3501164}" destId="{F9B700F5-FE53-4898-8473-E41BA622770A}" srcOrd="0" destOrd="0" presId="urn:microsoft.com/office/officeart/2005/8/layout/radial1"/>
    <dgm:cxn modelId="{8E1DF84F-DFE7-44B6-8E91-F141109A2E61}" type="presOf" srcId="{CAFFE48E-62CC-4A4E-8AAD-350AE152CF67}" destId="{DABF4047-AD71-411C-AE3F-2AEC90D4014C}" srcOrd="0" destOrd="0" presId="urn:microsoft.com/office/officeart/2005/8/layout/radial1"/>
    <dgm:cxn modelId="{BFE1ABF6-D7F7-4430-933B-7B1B5A8E5C1F}" type="presOf" srcId="{0A264E12-A690-4EB1-84E4-84DFA87BFB93}" destId="{3D526088-4D6D-4593-B8C5-D37DEAA235C5}" srcOrd="0" destOrd="0" presId="urn:microsoft.com/office/officeart/2005/8/layout/radial1"/>
    <dgm:cxn modelId="{8BE97DF7-F62B-436A-A246-550D55014878}" type="presOf" srcId="{8C7CA1B9-AF09-4BF0-8DA3-D47477CE14AF}" destId="{84E60963-CCF6-4F49-ADF4-4E0B92E2FD50}"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FA3E3FBC-036F-4227-AC8C-863ACC8F09A4}" type="presOf" srcId="{D7EF8700-1D4B-4E5E-A3AB-B0538F12BCF1}" destId="{8B1C08B1-CAB6-4688-96F1-39C4B99716F5}" srcOrd="0"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F15DBD1E-365B-460D-AAF1-2097BF5A47FD}" type="presOf" srcId="{5E041545-9CD5-4C90-93CB-A12414C66F1C}" destId="{57C88D13-C3DC-4ADF-9B33-B33BECC96F4A}" srcOrd="0" destOrd="0" presId="urn:microsoft.com/office/officeart/2005/8/layout/radial1"/>
    <dgm:cxn modelId="{98F54DFB-1A6E-404D-BC9B-E70632D1D2F6}" type="presOf" srcId="{34D9B9DB-6FAF-4DA3-9DFB-975A53BACF21}" destId="{682A739A-AF51-47D6-B208-4967666448FA}"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1CF9B5C9-DE61-4C6F-B5CE-E989DF204502}" type="presOf" srcId="{DD53E2F8-7530-43E2-BF11-74F4A65E8071}" destId="{CDB4E705-7568-43A1-81EA-ADD623EF0937}" srcOrd="1" destOrd="0" presId="urn:microsoft.com/office/officeart/2005/8/layout/radial1"/>
    <dgm:cxn modelId="{105B39AB-C300-45B2-B5E9-C0FFCF2ED600}" type="presOf" srcId="{8C7CA1B9-AF09-4BF0-8DA3-D47477CE14AF}" destId="{82033438-DC5E-446F-A881-F87E440A2F80}" srcOrd="1" destOrd="0" presId="urn:microsoft.com/office/officeart/2005/8/layout/radial1"/>
    <dgm:cxn modelId="{696D7076-EB77-4F38-831F-4EC59F6156D8}" type="presOf" srcId="{549FB034-A7B0-4034-823E-50D8950BE6C8}" destId="{438F1B6A-2155-45AB-8517-E89518D6DA1D}" srcOrd="1" destOrd="0" presId="urn:microsoft.com/office/officeart/2005/8/layout/radial1"/>
    <dgm:cxn modelId="{E4929B29-82B6-482C-9004-CA04F5BFF360}" type="presOf" srcId="{549FB034-A7B0-4034-823E-50D8950BE6C8}" destId="{1DE75ECB-A43C-4269-B4D9-50472DD1D912}" srcOrd="0" destOrd="0" presId="urn:microsoft.com/office/officeart/2005/8/layout/radial1"/>
    <dgm:cxn modelId="{622C0B64-D048-46D6-9507-9BD0BA9E3D7E}" type="presOf" srcId="{D242AC3A-3151-4E89-A5FF-73E2DB7234F4}" destId="{F14CEF6E-B1EF-42D8-B171-92FB75335BF2}" srcOrd="0" destOrd="0" presId="urn:microsoft.com/office/officeart/2005/8/layout/radial1"/>
    <dgm:cxn modelId="{EF6FE4F0-501D-4C65-93A1-CF10F932401F}" type="presParOf" srcId="{3D526088-4D6D-4593-B8C5-D37DEAA235C5}" destId="{57C88D13-C3DC-4ADF-9B33-B33BECC96F4A}" srcOrd="0" destOrd="0" presId="urn:microsoft.com/office/officeart/2005/8/layout/radial1"/>
    <dgm:cxn modelId="{B6F0A07B-40F1-4CD3-B557-383F7ABF36E0}" type="presParOf" srcId="{3D526088-4D6D-4593-B8C5-D37DEAA235C5}" destId="{1DE75ECB-A43C-4269-B4D9-50472DD1D912}" srcOrd="1" destOrd="0" presId="urn:microsoft.com/office/officeart/2005/8/layout/radial1"/>
    <dgm:cxn modelId="{C3E36DA2-F3D7-430E-B2AF-E9685ACAD8B2}" type="presParOf" srcId="{1DE75ECB-A43C-4269-B4D9-50472DD1D912}" destId="{438F1B6A-2155-45AB-8517-E89518D6DA1D}" srcOrd="0" destOrd="0" presId="urn:microsoft.com/office/officeart/2005/8/layout/radial1"/>
    <dgm:cxn modelId="{263B7A41-D433-4B26-A188-F92179713F37}" type="presParOf" srcId="{3D526088-4D6D-4593-B8C5-D37DEAA235C5}" destId="{DC4BD9DA-F315-443F-A4F6-21DDAA60BA09}" srcOrd="2" destOrd="0" presId="urn:microsoft.com/office/officeart/2005/8/layout/radial1"/>
    <dgm:cxn modelId="{D6DAAE2E-36FB-433C-82C2-E921B3379073}" type="presParOf" srcId="{3D526088-4D6D-4593-B8C5-D37DEAA235C5}" destId="{F14CEF6E-B1EF-42D8-B171-92FB75335BF2}" srcOrd="3" destOrd="0" presId="urn:microsoft.com/office/officeart/2005/8/layout/radial1"/>
    <dgm:cxn modelId="{80BEF2B6-51D0-4FD7-9C34-2440CBD5D69E}" type="presParOf" srcId="{F14CEF6E-B1EF-42D8-B171-92FB75335BF2}" destId="{DC0AB66C-A6A9-44D3-B2B9-41CEEFDB1ED0}" srcOrd="0" destOrd="0" presId="urn:microsoft.com/office/officeart/2005/8/layout/radial1"/>
    <dgm:cxn modelId="{E001DC43-0BAF-4B84-9450-092142D95D70}" type="presParOf" srcId="{3D526088-4D6D-4593-B8C5-D37DEAA235C5}" destId="{9C1D9066-1FB3-4EC9-A1DF-F66F0A11CCE8}" srcOrd="4" destOrd="0" presId="urn:microsoft.com/office/officeart/2005/8/layout/radial1"/>
    <dgm:cxn modelId="{116A1A0A-A02B-4172-A122-E292575F255D}" type="presParOf" srcId="{3D526088-4D6D-4593-B8C5-D37DEAA235C5}" destId="{89B7C4FC-22B3-4A39-B8A4-0601801F536E}" srcOrd="5" destOrd="0" presId="urn:microsoft.com/office/officeart/2005/8/layout/radial1"/>
    <dgm:cxn modelId="{8ED6FF8C-2F5C-4A5D-B94E-C8182B960C04}" type="presParOf" srcId="{89B7C4FC-22B3-4A39-B8A4-0601801F536E}" destId="{345B5FE1-6C8C-471D-A881-057D426F8145}" srcOrd="0" destOrd="0" presId="urn:microsoft.com/office/officeart/2005/8/layout/radial1"/>
    <dgm:cxn modelId="{7276CF7B-3E23-45D2-A5F0-2C9A39D4D6BD}" type="presParOf" srcId="{3D526088-4D6D-4593-B8C5-D37DEAA235C5}" destId="{011D7E36-EF66-41CA-94B9-B2C644379AFE}" srcOrd="6" destOrd="0" presId="urn:microsoft.com/office/officeart/2005/8/layout/radial1"/>
    <dgm:cxn modelId="{39033ECF-FDD0-45C6-9A01-2E647D85065D}" type="presParOf" srcId="{3D526088-4D6D-4593-B8C5-D37DEAA235C5}" destId="{9C9B17F3-E666-4A38-99BE-B0666A3E7631}" srcOrd="7" destOrd="0" presId="urn:microsoft.com/office/officeart/2005/8/layout/radial1"/>
    <dgm:cxn modelId="{E8FA4F8F-D2CD-45D5-BE61-72D7330799E0}" type="presParOf" srcId="{9C9B17F3-E666-4A38-99BE-B0666A3E7631}" destId="{14D7ED0C-9451-4F8F-9A91-497F794C01C8}" srcOrd="0" destOrd="0" presId="urn:microsoft.com/office/officeart/2005/8/layout/radial1"/>
    <dgm:cxn modelId="{EA99F0ED-8D98-4C6C-AEC7-6B9E187D325E}" type="presParOf" srcId="{3D526088-4D6D-4593-B8C5-D37DEAA235C5}" destId="{1372E371-53B4-4528-B770-3CC03FDE05EC}" srcOrd="8" destOrd="0" presId="urn:microsoft.com/office/officeart/2005/8/layout/radial1"/>
    <dgm:cxn modelId="{6706AA77-88CA-42F1-A1D2-BB1A538C67CC}" type="presParOf" srcId="{3D526088-4D6D-4593-B8C5-D37DEAA235C5}" destId="{772C7A5D-AF62-4079-9590-3C888B5364B0}" srcOrd="9" destOrd="0" presId="urn:microsoft.com/office/officeart/2005/8/layout/radial1"/>
    <dgm:cxn modelId="{6E157783-B128-4C8B-9D98-579DC9B156E5}" type="presParOf" srcId="{772C7A5D-AF62-4079-9590-3C888B5364B0}" destId="{CDB4E705-7568-43A1-81EA-ADD623EF0937}" srcOrd="0" destOrd="0" presId="urn:microsoft.com/office/officeart/2005/8/layout/radial1"/>
    <dgm:cxn modelId="{10564356-D765-459B-9CC8-99C9CDCC03B6}" type="presParOf" srcId="{3D526088-4D6D-4593-B8C5-D37DEAA235C5}" destId="{04E17C38-6FBF-48F3-B04A-2303E14F89B4}" srcOrd="10" destOrd="0" presId="urn:microsoft.com/office/officeart/2005/8/layout/radial1"/>
    <dgm:cxn modelId="{D5F32201-ED9C-4249-997C-CC12CE56B7E6}" type="presParOf" srcId="{3D526088-4D6D-4593-B8C5-D37DEAA235C5}" destId="{84E60963-CCF6-4F49-ADF4-4E0B92E2FD50}" srcOrd="11" destOrd="0" presId="urn:microsoft.com/office/officeart/2005/8/layout/radial1"/>
    <dgm:cxn modelId="{5DAD1CE3-24B3-4D9D-8C29-C568E3453EA1}" type="presParOf" srcId="{84E60963-CCF6-4F49-ADF4-4E0B92E2FD50}" destId="{82033438-DC5E-446F-A881-F87E440A2F80}" srcOrd="0" destOrd="0" presId="urn:microsoft.com/office/officeart/2005/8/layout/radial1"/>
    <dgm:cxn modelId="{982ACDE4-5E06-48D8-9964-838109782416}" type="presParOf" srcId="{3D526088-4D6D-4593-B8C5-D37DEAA235C5}" destId="{DABF4047-AD71-411C-AE3F-2AEC90D4014C}" srcOrd="12" destOrd="0" presId="urn:microsoft.com/office/officeart/2005/8/layout/radial1"/>
    <dgm:cxn modelId="{7FB56C74-8D13-43C9-B94B-AFE946F324F7}" type="presParOf" srcId="{3D526088-4D6D-4593-B8C5-D37DEAA235C5}" destId="{3557B5FD-010B-4360-8ECC-5F0CD0CE5D93}" srcOrd="13" destOrd="0" presId="urn:microsoft.com/office/officeart/2005/8/layout/radial1"/>
    <dgm:cxn modelId="{F9C94CBF-4520-4688-828A-D72D82822C58}" type="presParOf" srcId="{3557B5FD-010B-4360-8ECC-5F0CD0CE5D93}" destId="{C899BCF8-16F7-443C-9454-8A46C45852FE}" srcOrd="0" destOrd="0" presId="urn:microsoft.com/office/officeart/2005/8/layout/radial1"/>
    <dgm:cxn modelId="{CD92829A-9F43-4D66-96B4-9182EDFF6B91}" type="presParOf" srcId="{3D526088-4D6D-4593-B8C5-D37DEAA235C5}" destId="{F9B700F5-FE53-4898-8473-E41BA622770A}" srcOrd="14" destOrd="0" presId="urn:microsoft.com/office/officeart/2005/8/layout/radial1"/>
    <dgm:cxn modelId="{5D81AF32-CDAF-47DE-AA7E-1002137CFBA3}" type="presParOf" srcId="{3D526088-4D6D-4593-B8C5-D37DEAA235C5}" destId="{11D1338D-BDBD-4DAB-A8CC-C508D5BB0D05}" srcOrd="15" destOrd="0" presId="urn:microsoft.com/office/officeart/2005/8/layout/radial1"/>
    <dgm:cxn modelId="{B349D962-F94D-4530-AFAA-0FEB264D908D}" type="presParOf" srcId="{11D1338D-BDBD-4DAB-A8CC-C508D5BB0D05}" destId="{682A739A-AF51-47D6-B208-4967666448FA}" srcOrd="0" destOrd="0" presId="urn:microsoft.com/office/officeart/2005/8/layout/radial1"/>
    <dgm:cxn modelId="{9D868523-B08A-474A-BA69-B2440EA6054A}"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E3E74-32FD-406E-A020-084E5D7F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3</cp:revision>
  <cp:lastPrinted>2014-11-11T20:01:00Z</cp:lastPrinted>
  <dcterms:created xsi:type="dcterms:W3CDTF">2015-04-20T11:04:00Z</dcterms:created>
  <dcterms:modified xsi:type="dcterms:W3CDTF">2015-04-20T11:09:00Z</dcterms:modified>
</cp:coreProperties>
</file>