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1519B8"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bookmarkStart w:id="2" w:name="_GoBack"/>
      <w:bookmarkEnd w:id="2"/>
      <w:r w:rsidR="001519B8" w:rsidRPr="00ED2068">
        <w:rPr>
          <w:noProof/>
          <w:lang w:val="es-ES_tradnl"/>
        </w:rPr>
        <w:t>8</w:t>
      </w:r>
      <w:r w:rsidR="001519B8">
        <w:rPr>
          <w:rFonts w:asciiTheme="minorHAnsi" w:eastAsiaTheme="minorEastAsia" w:hAnsiTheme="minorHAnsi" w:cstheme="minorBidi"/>
          <w:b w:val="0"/>
          <w:noProof/>
          <w:sz w:val="22"/>
          <w:szCs w:val="22"/>
        </w:rPr>
        <w:tab/>
      </w:r>
      <w:r w:rsidR="001519B8" w:rsidRPr="00ED2068">
        <w:rPr>
          <w:noProof/>
          <w:lang w:val="es-ES_tradnl"/>
        </w:rPr>
        <w:t>BASES DE DATOS</w:t>
      </w:r>
      <w:r w:rsidR="001519B8">
        <w:rPr>
          <w:noProof/>
        </w:rPr>
        <w:tab/>
      </w:r>
      <w:r w:rsidR="001519B8">
        <w:rPr>
          <w:noProof/>
        </w:rPr>
        <w:fldChar w:fldCharType="begin"/>
      </w:r>
      <w:r w:rsidR="001519B8">
        <w:rPr>
          <w:noProof/>
        </w:rPr>
        <w:instrText xml:space="preserve"> PAGEREF _Toc420052517 \h </w:instrText>
      </w:r>
      <w:r w:rsidR="001519B8">
        <w:rPr>
          <w:noProof/>
        </w:rPr>
      </w:r>
      <w:r w:rsidR="001519B8">
        <w:rPr>
          <w:noProof/>
        </w:rPr>
        <w:fldChar w:fldCharType="separate"/>
      </w:r>
      <w:r w:rsidR="001519B8">
        <w:rPr>
          <w:noProof/>
        </w:rPr>
        <w:t>5</w:t>
      </w:r>
      <w:r w:rsidR="001519B8">
        <w:rPr>
          <w:noProof/>
        </w:rPr>
        <w:fldChar w:fldCharType="end"/>
      </w:r>
    </w:p>
    <w:p w:rsidR="001519B8" w:rsidRDefault="001519B8">
      <w:pPr>
        <w:pStyle w:val="TDC2"/>
        <w:rPr>
          <w:rFonts w:asciiTheme="minorHAnsi" w:eastAsiaTheme="minorEastAsia" w:hAnsiTheme="minorHAnsi" w:cstheme="minorBidi"/>
          <w:noProof/>
          <w:sz w:val="22"/>
          <w:szCs w:val="22"/>
        </w:rPr>
      </w:pPr>
      <w:r w:rsidRPr="00ED2068">
        <w:rPr>
          <w:noProof/>
          <w:lang w:val="es-ES_tradnl"/>
        </w:rPr>
        <w:t>8.1</w:t>
      </w:r>
      <w:r>
        <w:rPr>
          <w:rFonts w:asciiTheme="minorHAnsi" w:eastAsiaTheme="minorEastAsia" w:hAnsiTheme="minorHAnsi" w:cstheme="minorBidi"/>
          <w:noProof/>
          <w:sz w:val="22"/>
          <w:szCs w:val="22"/>
        </w:rPr>
        <w:tab/>
      </w:r>
      <w:r w:rsidRPr="00ED2068">
        <w:rPr>
          <w:noProof/>
          <w:lang w:val="es-ES_tradnl"/>
        </w:rPr>
        <w:t>Introducción</w:t>
      </w:r>
      <w:r>
        <w:rPr>
          <w:noProof/>
        </w:rPr>
        <w:tab/>
      </w:r>
      <w:r>
        <w:rPr>
          <w:noProof/>
        </w:rPr>
        <w:fldChar w:fldCharType="begin"/>
      </w:r>
      <w:r>
        <w:rPr>
          <w:noProof/>
        </w:rPr>
        <w:instrText xml:space="preserve"> PAGEREF _Toc420052518 \h </w:instrText>
      </w:r>
      <w:r>
        <w:rPr>
          <w:noProof/>
        </w:rPr>
      </w:r>
      <w:r>
        <w:rPr>
          <w:noProof/>
        </w:rPr>
        <w:fldChar w:fldCharType="separate"/>
      </w:r>
      <w:r>
        <w:rPr>
          <w:noProof/>
        </w:rPr>
        <w:t>5</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_Toc420052519 \h </w:instrText>
      </w:r>
      <w:r>
        <w:rPr>
          <w:noProof/>
        </w:rPr>
      </w:r>
      <w:r>
        <w:rPr>
          <w:noProof/>
        </w:rPr>
        <w:fldChar w:fldCharType="separate"/>
      </w:r>
      <w:r>
        <w:rPr>
          <w:noProof/>
        </w:rPr>
        <w:t>7</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_Toc420052520 \h </w:instrText>
      </w:r>
      <w:r>
        <w:rPr>
          <w:noProof/>
        </w:rPr>
      </w:r>
      <w:r>
        <w:rPr>
          <w:noProof/>
        </w:rPr>
        <w:fldChar w:fldCharType="separate"/>
      </w:r>
      <w:r>
        <w:rPr>
          <w:noProof/>
        </w:rPr>
        <w:t>8</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_Toc420052521 \h </w:instrText>
      </w:r>
      <w:r>
        <w:rPr>
          <w:noProof/>
        </w:rPr>
      </w:r>
      <w:r>
        <w:rPr>
          <w:noProof/>
        </w:rPr>
        <w:fldChar w:fldCharType="separate"/>
      </w:r>
      <w:r>
        <w:rPr>
          <w:noProof/>
        </w:rPr>
        <w:t>11</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_Toc420052522 \h </w:instrText>
      </w:r>
      <w:r>
        <w:rPr>
          <w:noProof/>
        </w:rPr>
      </w:r>
      <w:r>
        <w:rPr>
          <w:noProof/>
        </w:rPr>
        <w:fldChar w:fldCharType="separate"/>
      </w:r>
      <w:r>
        <w:rPr>
          <w:noProof/>
        </w:rPr>
        <w:t>12</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_Toc420052523 \h </w:instrText>
      </w:r>
      <w:r>
        <w:rPr>
          <w:noProof/>
        </w:rPr>
      </w:r>
      <w:r>
        <w:rPr>
          <w:noProof/>
        </w:rPr>
        <w:fldChar w:fldCharType="separate"/>
      </w:r>
      <w:r>
        <w:rPr>
          <w:noProof/>
        </w:rPr>
        <w:t>13</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_Toc420052524 \h </w:instrText>
      </w:r>
      <w:r>
        <w:rPr>
          <w:noProof/>
        </w:rPr>
      </w:r>
      <w:r>
        <w:rPr>
          <w:noProof/>
        </w:rPr>
        <w:fldChar w:fldCharType="separate"/>
      </w:r>
      <w:r>
        <w:rPr>
          <w:noProof/>
        </w:rPr>
        <w:t>14</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_Toc420052525 \h </w:instrText>
      </w:r>
      <w:r>
        <w:rPr>
          <w:noProof/>
        </w:rPr>
      </w:r>
      <w:r>
        <w:rPr>
          <w:noProof/>
        </w:rPr>
        <w:fldChar w:fldCharType="separate"/>
      </w:r>
      <w:r>
        <w:rPr>
          <w:noProof/>
        </w:rPr>
        <w:t>17</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_Toc420052526 \h </w:instrText>
      </w:r>
      <w:r>
        <w:rPr>
          <w:noProof/>
        </w:rPr>
      </w:r>
      <w:r>
        <w:rPr>
          <w:noProof/>
        </w:rPr>
        <w:fldChar w:fldCharType="separate"/>
      </w:r>
      <w:r>
        <w:rPr>
          <w:noProof/>
        </w:rPr>
        <w:t>18</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_Toc420052527 \h </w:instrText>
      </w:r>
      <w:r>
        <w:rPr>
          <w:noProof/>
        </w:rPr>
      </w:r>
      <w:r>
        <w:rPr>
          <w:noProof/>
        </w:rPr>
        <w:fldChar w:fldCharType="separate"/>
      </w:r>
      <w:r>
        <w:rPr>
          <w:noProof/>
        </w:rPr>
        <w:t>19</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_Toc420052528 \h </w:instrText>
      </w:r>
      <w:r>
        <w:rPr>
          <w:noProof/>
        </w:rPr>
      </w:r>
      <w:r>
        <w:rPr>
          <w:noProof/>
        </w:rPr>
        <w:fldChar w:fldCharType="separate"/>
      </w:r>
      <w:r>
        <w:rPr>
          <w:noProof/>
        </w:rPr>
        <w:t>20</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_Toc420052529 \h </w:instrText>
      </w:r>
      <w:r>
        <w:rPr>
          <w:noProof/>
        </w:rPr>
      </w:r>
      <w:r>
        <w:rPr>
          <w:noProof/>
        </w:rPr>
        <w:fldChar w:fldCharType="separate"/>
      </w:r>
      <w:r>
        <w:rPr>
          <w:noProof/>
        </w:rPr>
        <w:t>21</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_Toc420052530 \h </w:instrText>
      </w:r>
      <w:r>
        <w:rPr>
          <w:noProof/>
        </w:rPr>
      </w:r>
      <w:r>
        <w:rPr>
          <w:noProof/>
        </w:rPr>
        <w:fldChar w:fldCharType="separate"/>
      </w:r>
      <w:r>
        <w:rPr>
          <w:noProof/>
        </w:rPr>
        <w:t>22</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_Toc420052531 \h </w:instrText>
      </w:r>
      <w:r>
        <w:rPr>
          <w:noProof/>
        </w:rPr>
      </w:r>
      <w:r>
        <w:rPr>
          <w:noProof/>
        </w:rPr>
        <w:fldChar w:fldCharType="separate"/>
      </w:r>
      <w:r>
        <w:rPr>
          <w:noProof/>
        </w:rPr>
        <w:t>23</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_Toc420052532 \h </w:instrText>
      </w:r>
      <w:r>
        <w:rPr>
          <w:noProof/>
        </w:rPr>
      </w:r>
      <w:r>
        <w:rPr>
          <w:noProof/>
        </w:rPr>
        <w:fldChar w:fldCharType="separate"/>
      </w:r>
      <w:r>
        <w:rPr>
          <w:noProof/>
        </w:rPr>
        <w:t>24</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 xml:space="preserve">Tablas maestras de </w:t>
      </w:r>
      <w:r w:rsidRPr="00ED2068">
        <w:rPr>
          <w:rFonts w:cs="Arial"/>
          <w:noProof/>
          <w:lang w:val="es-ES_tradnl"/>
        </w:rPr>
        <w:t>validación</w:t>
      </w:r>
      <w:r>
        <w:rPr>
          <w:noProof/>
        </w:rPr>
        <w:tab/>
      </w:r>
      <w:r>
        <w:rPr>
          <w:noProof/>
        </w:rPr>
        <w:fldChar w:fldCharType="begin"/>
      </w:r>
      <w:r>
        <w:rPr>
          <w:noProof/>
        </w:rPr>
        <w:instrText xml:space="preserve"> PAGEREF _Toc420052533 \h </w:instrText>
      </w:r>
      <w:r>
        <w:rPr>
          <w:noProof/>
        </w:rPr>
      </w:r>
      <w:r>
        <w:rPr>
          <w:noProof/>
        </w:rPr>
        <w:fldChar w:fldCharType="separate"/>
      </w:r>
      <w:r>
        <w:rPr>
          <w:noProof/>
        </w:rPr>
        <w:t>26</w:t>
      </w:r>
      <w:r>
        <w:rPr>
          <w:noProof/>
        </w:rPr>
        <w:fldChar w:fldCharType="end"/>
      </w:r>
    </w:p>
    <w:p w:rsidR="001519B8" w:rsidRDefault="001519B8">
      <w:pPr>
        <w:pStyle w:val="TDC3"/>
        <w:tabs>
          <w:tab w:val="left" w:pos="1320"/>
          <w:tab w:val="right" w:leader="dot" w:pos="9202"/>
        </w:tabs>
        <w:rPr>
          <w:rFonts w:asciiTheme="minorHAnsi" w:eastAsiaTheme="minorEastAsia" w:hAnsiTheme="minorHAnsi" w:cstheme="minorBidi"/>
          <w:noProof/>
          <w:sz w:val="22"/>
          <w:szCs w:val="22"/>
        </w:rPr>
      </w:pPr>
      <w:r>
        <w:rPr>
          <w:noProof/>
        </w:rPr>
        <w:t>8.16.1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_Toc420052534 \h </w:instrText>
      </w:r>
      <w:r>
        <w:rPr>
          <w:noProof/>
        </w:rPr>
      </w:r>
      <w:r>
        <w:rPr>
          <w:noProof/>
        </w:rPr>
        <w:fldChar w:fldCharType="separate"/>
      </w:r>
      <w:r>
        <w:rPr>
          <w:noProof/>
        </w:rPr>
        <w:t>26</w:t>
      </w:r>
      <w:r>
        <w:rPr>
          <w:noProof/>
        </w:rPr>
        <w:fldChar w:fldCharType="end"/>
      </w:r>
    </w:p>
    <w:p w:rsidR="001519B8" w:rsidRDefault="001519B8">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_Toc420052535 \h </w:instrText>
      </w:r>
      <w:r>
        <w:fldChar w:fldCharType="separate"/>
      </w:r>
      <w:r>
        <w:t>26</w:t>
      </w:r>
      <w:r>
        <w:fldChar w:fldCharType="end"/>
      </w:r>
    </w:p>
    <w:p w:rsidR="001519B8" w:rsidRDefault="001519B8">
      <w:pPr>
        <w:pStyle w:val="TDC4"/>
        <w:rPr>
          <w:rFonts w:asciiTheme="minorHAnsi" w:eastAsiaTheme="minorEastAsia" w:hAnsiTheme="minorHAnsi" w:cstheme="minorBidi"/>
          <w:sz w:val="22"/>
          <w:lang w:val="es-ES"/>
        </w:rPr>
      </w:pPr>
      <w:r w:rsidRPr="00ED2068">
        <w:t>TB Company Status</w:t>
      </w:r>
      <w:r>
        <w:tab/>
      </w:r>
      <w:r>
        <w:fldChar w:fldCharType="begin"/>
      </w:r>
      <w:r>
        <w:instrText xml:space="preserve"> PAGEREF _Toc420052536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t>TB Relations IPT</w:t>
      </w:r>
      <w:r>
        <w:tab/>
      </w:r>
      <w:r>
        <w:fldChar w:fldCharType="begin"/>
      </w:r>
      <w:r>
        <w:instrText xml:space="preserve"> PAGEREF _Toc420052537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t>TB Activity Level</w:t>
      </w:r>
      <w:r>
        <w:tab/>
      </w:r>
      <w:r>
        <w:fldChar w:fldCharType="begin"/>
      </w:r>
      <w:r>
        <w:instrText xml:space="preserve"> PAGEREF _Toc420052538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rPr>
          <w:lang w:val="en-US"/>
        </w:rPr>
        <w:t>TB Company Value Chain Position</w:t>
      </w:r>
      <w:r>
        <w:tab/>
      </w:r>
      <w:r>
        <w:fldChar w:fldCharType="begin"/>
      </w:r>
      <w:r>
        <w:instrText xml:space="preserve"> PAGEREF _Toc420052539 \h </w:instrText>
      </w:r>
      <w:r>
        <w:fldChar w:fldCharType="separate"/>
      </w:r>
      <w:r>
        <w:t>28</w:t>
      </w:r>
      <w:r>
        <w:fldChar w:fldCharType="end"/>
      </w:r>
    </w:p>
    <w:p w:rsidR="001519B8" w:rsidRDefault="001519B8">
      <w:pPr>
        <w:pStyle w:val="TDC4"/>
        <w:rPr>
          <w:rFonts w:asciiTheme="minorHAnsi" w:eastAsiaTheme="minorEastAsia" w:hAnsiTheme="minorHAnsi" w:cstheme="minorBidi"/>
          <w:sz w:val="22"/>
          <w:lang w:val="es-ES"/>
        </w:rPr>
      </w:pPr>
      <w:r w:rsidRPr="00ED2068">
        <w:t>TB Y-N-Tbd</w:t>
      </w:r>
      <w:r>
        <w:tab/>
      </w:r>
      <w:r>
        <w:fldChar w:fldCharType="begin"/>
      </w:r>
      <w:r>
        <w:instrText xml:space="preserve"> PAGEREF _Toc420052540 \h </w:instrText>
      </w:r>
      <w:r>
        <w:fldChar w:fldCharType="separate"/>
      </w:r>
      <w:r>
        <w:t>28</w:t>
      </w:r>
      <w:r>
        <w:fldChar w:fldCharType="end"/>
      </w:r>
    </w:p>
    <w:p w:rsidR="001519B8" w:rsidRDefault="001519B8">
      <w:pPr>
        <w:pStyle w:val="TDC4"/>
        <w:rPr>
          <w:rFonts w:asciiTheme="minorHAnsi" w:eastAsiaTheme="minorEastAsia" w:hAnsiTheme="minorHAnsi" w:cstheme="minorBidi"/>
          <w:sz w:val="22"/>
          <w:lang w:val="es-ES"/>
        </w:rPr>
      </w:pPr>
      <w:r w:rsidRPr="00ED2068">
        <w:t>TB Activity Sectors</w:t>
      </w:r>
      <w:r>
        <w:tab/>
      </w:r>
      <w:r>
        <w:fldChar w:fldCharType="begin"/>
      </w:r>
      <w:r>
        <w:instrText xml:space="preserve"> PAGEREF _Toc420052541 \h </w:instrText>
      </w:r>
      <w:r>
        <w:fldChar w:fldCharType="separate"/>
      </w:r>
      <w:r>
        <w:t>29</w:t>
      </w:r>
      <w:r>
        <w:fldChar w:fldCharType="end"/>
      </w:r>
    </w:p>
    <w:p w:rsidR="001519B8" w:rsidRDefault="001519B8">
      <w:pPr>
        <w:pStyle w:val="TDC3"/>
        <w:tabs>
          <w:tab w:val="left" w:pos="1320"/>
          <w:tab w:val="right" w:leader="dot" w:pos="9202"/>
        </w:tabs>
        <w:rPr>
          <w:rFonts w:asciiTheme="minorHAnsi" w:eastAsiaTheme="minorEastAsia" w:hAnsiTheme="minorHAnsi" w:cstheme="minorBidi"/>
          <w:noProof/>
          <w:sz w:val="22"/>
          <w:szCs w:val="22"/>
        </w:rPr>
      </w:pPr>
      <w:r w:rsidRPr="00ED2068">
        <w:rPr>
          <w:noProof/>
          <w:lang w:val="es-ES_tradnl"/>
        </w:rPr>
        <w:t>8.16.2</w:t>
      </w:r>
      <w:r>
        <w:rPr>
          <w:rFonts w:asciiTheme="minorHAnsi" w:eastAsiaTheme="minorEastAsia" w:hAnsiTheme="minorHAnsi" w:cstheme="minorBidi"/>
          <w:noProof/>
          <w:sz w:val="22"/>
          <w:szCs w:val="22"/>
        </w:rPr>
        <w:tab/>
      </w:r>
      <w:r w:rsidRPr="00ED2068">
        <w:rPr>
          <w:noProof/>
          <w:lang w:val="es-ES_tradnl"/>
        </w:rPr>
        <w:t>Resto de tablas maestras</w:t>
      </w:r>
      <w:r>
        <w:rPr>
          <w:noProof/>
        </w:rPr>
        <w:tab/>
      </w:r>
      <w:r>
        <w:rPr>
          <w:noProof/>
        </w:rPr>
        <w:fldChar w:fldCharType="begin"/>
      </w:r>
      <w:r>
        <w:rPr>
          <w:noProof/>
        </w:rPr>
        <w:instrText xml:space="preserve"> PAGEREF _Toc420052542 \h </w:instrText>
      </w:r>
      <w:r>
        <w:rPr>
          <w:noProof/>
        </w:rPr>
      </w:r>
      <w:r>
        <w:rPr>
          <w:noProof/>
        </w:rPr>
        <w:fldChar w:fldCharType="separate"/>
      </w:r>
      <w:r>
        <w:rPr>
          <w:noProof/>
        </w:rPr>
        <w:t>29</w:t>
      </w:r>
      <w:r>
        <w:rPr>
          <w:noProof/>
        </w:rPr>
        <w:fldChar w:fldCharType="end"/>
      </w:r>
    </w:p>
    <w:p w:rsidR="001519B8" w:rsidRDefault="001519B8">
      <w:pPr>
        <w:pStyle w:val="TDC4"/>
        <w:rPr>
          <w:rFonts w:asciiTheme="minorHAnsi" w:eastAsiaTheme="minorEastAsia" w:hAnsiTheme="minorHAnsi" w:cstheme="minorBidi"/>
          <w:sz w:val="22"/>
          <w:lang w:val="es-ES"/>
        </w:rPr>
      </w:pPr>
      <w:r w:rsidRPr="00ED2068">
        <w:t>TB States</w:t>
      </w:r>
      <w:r>
        <w:tab/>
      </w:r>
      <w:r>
        <w:fldChar w:fldCharType="begin"/>
      </w:r>
      <w:r>
        <w:instrText xml:space="preserve"> PAGEREF _Toc420052543 \h </w:instrText>
      </w:r>
      <w:r>
        <w:fldChar w:fldCharType="separate"/>
      </w:r>
      <w:r>
        <w:t>29</w:t>
      </w:r>
      <w:r>
        <w:fldChar w:fldCharType="end"/>
      </w:r>
    </w:p>
    <w:p w:rsidR="001519B8" w:rsidRDefault="001519B8">
      <w:pPr>
        <w:pStyle w:val="TDC4"/>
        <w:rPr>
          <w:rFonts w:asciiTheme="minorHAnsi" w:eastAsiaTheme="minorEastAsia" w:hAnsiTheme="minorHAnsi" w:cstheme="minorBidi"/>
          <w:sz w:val="22"/>
          <w:lang w:val="es-ES"/>
        </w:rPr>
      </w:pPr>
      <w:r w:rsidRPr="00ED2068">
        <w:t>TB NextContactDays</w:t>
      </w:r>
      <w:r>
        <w:tab/>
      </w:r>
      <w:r>
        <w:fldChar w:fldCharType="begin"/>
      </w:r>
      <w:r>
        <w:instrText xml:space="preserve"> PAGEREF _Toc420052544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Languages</w:t>
      </w:r>
      <w:r>
        <w:tab/>
      </w:r>
      <w:r>
        <w:fldChar w:fldCharType="begin"/>
      </w:r>
      <w:r>
        <w:instrText xml:space="preserve"> PAGEREF _Toc420052545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Honorifics</w:t>
      </w:r>
      <w:r>
        <w:tab/>
      </w:r>
      <w:r>
        <w:fldChar w:fldCharType="begin"/>
      </w:r>
      <w:r>
        <w:instrText xml:space="preserve"> PAGEREF _Toc420052546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Product Families</w:t>
      </w:r>
      <w:r>
        <w:tab/>
      </w:r>
      <w:r>
        <w:fldChar w:fldCharType="begin"/>
      </w:r>
      <w:r>
        <w:instrText xml:space="preserve"> PAGEREF _Toc420052547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INCOTERMS_2012</w:t>
      </w:r>
      <w:r>
        <w:tab/>
      </w:r>
      <w:r>
        <w:fldChar w:fldCharType="begin"/>
      </w:r>
      <w:r>
        <w:instrText xml:space="preserve"> PAGEREF _Toc420052548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NumberOfDays</w:t>
      </w:r>
      <w:r>
        <w:tab/>
      </w:r>
      <w:r>
        <w:fldChar w:fldCharType="begin"/>
      </w:r>
      <w:r>
        <w:instrText xml:space="preserve"> PAGEREF _Toc420052549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Markets</w:t>
      </w:r>
      <w:r>
        <w:tab/>
      </w:r>
      <w:r>
        <w:fldChar w:fldCharType="begin"/>
      </w:r>
      <w:r>
        <w:instrText xml:space="preserve"> PAGEREF _Toc420052550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t>TB Regions</w:t>
      </w:r>
      <w:r>
        <w:tab/>
      </w:r>
      <w:r>
        <w:fldChar w:fldCharType="begin"/>
      </w:r>
      <w:r>
        <w:instrText xml:space="preserve"> PAGEREF _Toc420052551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lastRenderedPageBreak/>
        <w:t>TB Continents</w:t>
      </w:r>
      <w:r>
        <w:tab/>
      </w:r>
      <w:r>
        <w:fldChar w:fldCharType="begin"/>
      </w:r>
      <w:r>
        <w:instrText xml:space="preserve"> PAGEREF _Toc420052552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t>TB Communication Types</w:t>
      </w:r>
      <w:r>
        <w:tab/>
      </w:r>
      <w:r>
        <w:fldChar w:fldCharType="begin"/>
      </w:r>
      <w:r>
        <w:instrText xml:space="preserve"> PAGEREF _Toc420052553 \h </w:instrText>
      </w:r>
      <w:r>
        <w:fldChar w:fldCharType="separate"/>
      </w:r>
      <w:r>
        <w:t>33</w:t>
      </w:r>
      <w:r>
        <w:fldChar w:fldCharType="end"/>
      </w:r>
    </w:p>
    <w:p w:rsidR="001519B8" w:rsidRDefault="001519B8">
      <w:pPr>
        <w:pStyle w:val="TDC4"/>
        <w:rPr>
          <w:rFonts w:asciiTheme="minorHAnsi" w:eastAsiaTheme="minorEastAsia" w:hAnsiTheme="minorHAnsi" w:cstheme="minorBidi"/>
          <w:sz w:val="22"/>
          <w:lang w:val="es-ES"/>
        </w:rPr>
      </w:pPr>
      <w:r w:rsidRPr="00ED2068">
        <w:t>TB Reliability</w:t>
      </w:r>
      <w:r>
        <w:tab/>
      </w:r>
      <w:r>
        <w:fldChar w:fldCharType="begin"/>
      </w:r>
      <w:r>
        <w:instrText xml:space="preserve"> PAGEREF _Toc420052554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rsidRPr="00ED2068">
        <w:t>TB Importance</w:t>
      </w:r>
      <w:r>
        <w:tab/>
      </w:r>
      <w:r>
        <w:fldChar w:fldCharType="begin"/>
      </w:r>
      <w:r>
        <w:instrText xml:space="preserve"> PAGEREF _Toc420052555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rsidRPr="00ED2068">
        <w:t>TB Currencies</w:t>
      </w:r>
      <w:r>
        <w:tab/>
      </w:r>
      <w:r>
        <w:fldChar w:fldCharType="begin"/>
      </w:r>
      <w:r>
        <w:instrText xml:space="preserve"> PAGEREF _Toc420052556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t>TB Price Groups</w:t>
      </w:r>
      <w:r>
        <w:tab/>
      </w:r>
      <w:r>
        <w:fldChar w:fldCharType="begin"/>
      </w:r>
      <w:r>
        <w:instrText xml:space="preserve"> PAGEREF _Toc420052557 \h </w:instrText>
      </w:r>
      <w:r>
        <w:fldChar w:fldCharType="separate"/>
      </w:r>
      <w:r>
        <w:t>34</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3" w:name="_Toc418499840"/>
      <w:bookmarkStart w:id="4" w:name="_Toc420052517"/>
      <w:r>
        <w:rPr>
          <w:lang w:val="es-ES_tradnl"/>
        </w:rPr>
        <w:t>BASES DE DATOS</w:t>
      </w:r>
      <w:bookmarkEnd w:id="3"/>
      <w:bookmarkEnd w:id="4"/>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5" w:name="_Toc418499841"/>
      <w:bookmarkStart w:id="6" w:name="_Toc420052518"/>
      <w:r>
        <w:rPr>
          <w:lang w:val="es-ES_tradnl"/>
        </w:rPr>
        <w:t>Introducción</w:t>
      </w:r>
      <w:bookmarkEnd w:id="5"/>
      <w:bookmarkEnd w:id="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7" w:name="_Toc420052519"/>
      <w:r>
        <w:t>Modelo de datos entidad/relación conceptual</w:t>
      </w:r>
      <w:bookmarkEnd w:id="7"/>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E/R Diagram</w:t>
                            </w:r>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 xml:space="preserve">E/R </w:t>
                      </w:r>
                      <w:proofErr w:type="spellStart"/>
                      <w:r>
                        <w:t>Diagram</w:t>
                      </w:r>
                      <w:proofErr w:type="spellEnd"/>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8" w:name="_Toc416693598"/>
      <w:bookmarkStart w:id="9" w:name="_Toc418499842"/>
    </w:p>
    <w:p w:rsidR="00F36494" w:rsidRDefault="00F36494" w:rsidP="00F36494">
      <w:pPr>
        <w:pStyle w:val="Ttulo2"/>
      </w:pPr>
      <w:bookmarkStart w:id="10" w:name="_Toc420052520"/>
      <w:r>
        <w:t>Empresa y organizaciones (BD1)</w:t>
      </w:r>
      <w:bookmarkEnd w:id="8"/>
      <w:bookmarkEnd w:id="9"/>
      <w:bookmarkEnd w:id="10"/>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14:anchorId="0352C30F" wp14:editId="1911D05F">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1" w:name="_Toc416693599"/>
      <w:bookmarkStart w:id="12" w:name="_Toc418499843"/>
      <w:bookmarkStart w:id="13" w:name="_Toc420052521"/>
      <w:r>
        <w:t xml:space="preserve">Contactos </w:t>
      </w:r>
      <w:bookmarkEnd w:id="11"/>
      <w:r>
        <w:t>(BD2)</w:t>
      </w:r>
      <w:bookmarkEnd w:id="12"/>
      <w:bookmarkEnd w:id="13"/>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14:anchorId="62B3BEF6" wp14:editId="24B1DA6E">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Default="001D4824" w:rsidP="00F36494"/>
    <w:p w:rsidR="00102670" w:rsidRPr="0008549C" w:rsidRDefault="00102670" w:rsidP="00F36494"/>
    <w:p w:rsidR="00F36494" w:rsidRDefault="00F36494" w:rsidP="00F36494">
      <w:pPr>
        <w:pStyle w:val="Ttulo2"/>
      </w:pPr>
      <w:bookmarkStart w:id="14" w:name="_Toc416693600"/>
      <w:bookmarkStart w:id="15" w:name="_Toc418499844"/>
      <w:bookmarkStart w:id="16" w:name="_Toc420052522"/>
      <w:r>
        <w:t>Artículos</w:t>
      </w:r>
      <w:bookmarkEnd w:id="14"/>
      <w:r>
        <w:t xml:space="preserve"> (BD3)</w:t>
      </w:r>
      <w:bookmarkEnd w:id="15"/>
      <w:bookmarkEnd w:id="16"/>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5615797D" wp14:editId="10E28DD9">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7" w:name="_Toc420052523"/>
      <w:r>
        <w:t>Países (BD4)</w:t>
      </w:r>
      <w:bookmarkEnd w:id="17"/>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8" w:name="_Toc420052524"/>
      <w:r>
        <w:t>Ofertas (BD5)</w:t>
      </w:r>
      <w:bookmarkEnd w:id="18"/>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9" w:name="_Toc420052525"/>
      <w:r>
        <w:t>Noticias (BD6)</w:t>
      </w:r>
      <w:bookmarkEnd w:id="19"/>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20" w:name="_Toc420052526"/>
      <w:r>
        <w:t>Actividades comerciales (BD7)</w:t>
      </w:r>
      <w:bookmarkEnd w:id="20"/>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5B4AAA" w:rsidP="007534BD">
      <w:r w:rsidRPr="005B4AAA">
        <w:rPr>
          <w:noProof/>
          <w:lang w:eastAsia="es-ES"/>
        </w:rPr>
        <w:drawing>
          <wp:anchor distT="0" distB="0" distL="114300" distR="114300" simplePos="0" relativeHeight="251688960" behindDoc="0" locked="0" layoutInCell="1" allowOverlap="1" wp14:anchorId="66081325" wp14:editId="5ED355B8">
            <wp:simplePos x="0" y="0"/>
            <wp:positionH relativeFrom="column">
              <wp:posOffset>-407035</wp:posOffset>
            </wp:positionH>
            <wp:positionV relativeFrom="paragraph">
              <wp:posOffset>331470</wp:posOffset>
            </wp:positionV>
            <wp:extent cx="6733540" cy="291782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3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1" w:name="_Toc420052527"/>
      <w:r>
        <w:t>Precios de referencia (BD8)</w:t>
      </w:r>
      <w:bookmarkEnd w:id="21"/>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r w:rsidR="001A2599">
        <w:rPr>
          <w:i/>
        </w:rPr>
        <w:t>benchmark price</w:t>
      </w:r>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2" w:name="_Toc420052528"/>
      <w:r>
        <w:t>Incidencias (BD9)</w:t>
      </w:r>
      <w:bookmarkEnd w:id="22"/>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14:anchorId="13314B8A" wp14:editId="652B9EBC">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3" w:name="_Toc420052529"/>
      <w:r>
        <w:t>Referencias (BD10)</w:t>
      </w:r>
      <w:bookmarkEnd w:id="23"/>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BD9 Claims</w:t>
      </w:r>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4" w:name="_Toc420052530"/>
      <w:r>
        <w:t>Personal (BD11)</w:t>
      </w:r>
      <w:bookmarkEnd w:id="24"/>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r w:rsidR="00683A66">
        <w:rPr>
          <w:i/>
        </w:rPr>
        <w:t>risk</w:t>
      </w:r>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5" w:name="_Toc420052531"/>
      <w:r>
        <w:t>Relaciones entre las empresas (BD12)</w:t>
      </w:r>
      <w:bookmarkEnd w:id="25"/>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6" w:name="_Toc420052532"/>
      <w:r>
        <w:t>Estrategia y previsión (BD13)</w:t>
      </w:r>
      <w:bookmarkEnd w:id="26"/>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7" w:name="_Toc418499845"/>
      <w:bookmarkStart w:id="28" w:name="_Toc420052533"/>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5253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52535"/>
      <w:r w:rsidRPr="005D6156">
        <w:rPr>
          <w:lang w:eastAsia="es-ES"/>
        </w:rPr>
        <w:t>TB Company Importance</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52536"/>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52537"/>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52538"/>
      <w:r w:rsidRPr="00EF511F">
        <w:rPr>
          <w:lang w:val="es-ES_tradnl" w:eastAsia="es-ES"/>
        </w:rPr>
        <w:t>TB Activity Level</w:t>
      </w:r>
      <w:bookmarkEnd w:id="3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52539"/>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52540"/>
      <w:r w:rsidRPr="00265C19">
        <w:rPr>
          <w:lang w:val="es-ES_tradnl" w:eastAsia="es-ES"/>
        </w:rPr>
        <w:t>TB Y-N-Tbd</w:t>
      </w:r>
      <w:bookmarkEnd w:id="36"/>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52541"/>
      <w:r w:rsidRPr="00515EDE">
        <w:rPr>
          <w:lang w:val="es-ES_tradnl" w:eastAsia="es-ES"/>
        </w:rPr>
        <w:t>TB Activity Sectors</w:t>
      </w:r>
      <w:bookmarkEnd w:id="3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B32F39" w:rsidRDefault="00B32F39">
      <w:pPr>
        <w:jc w:val="left"/>
        <w:rPr>
          <w:rFonts w:eastAsia="Times New Roman"/>
          <w:b/>
          <w:szCs w:val="20"/>
          <w:lang w:val="es-ES_tradnl" w:eastAsia="es-ES"/>
        </w:rPr>
      </w:pPr>
    </w:p>
    <w:p w:rsidR="006B6387" w:rsidRDefault="006B6387">
      <w:pPr>
        <w:jc w:val="left"/>
        <w:rPr>
          <w:rFonts w:eastAsia="Times New Roman"/>
          <w:b/>
          <w:szCs w:val="20"/>
          <w:lang w:val="es-ES_tradnl" w:eastAsia="es-ES"/>
        </w:rPr>
      </w:pP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9" w:name="_Toc420052542"/>
      <w:r>
        <w:rPr>
          <w:lang w:val="es-ES_tradnl" w:eastAsia="es-ES"/>
        </w:rPr>
        <w:t>Resto de tablas maestras</w:t>
      </w:r>
      <w:bookmarkEnd w:id="38"/>
      <w:bookmarkEnd w:id="3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0" w:name="_Toc420052543"/>
      <w:r w:rsidRPr="00E858B1">
        <w:rPr>
          <w:lang w:val="es-ES_tradnl" w:eastAsia="es-ES"/>
        </w:rPr>
        <w:t xml:space="preserve">TB </w:t>
      </w:r>
      <w:r>
        <w:rPr>
          <w:lang w:val="es-ES_tradnl" w:eastAsia="es-ES"/>
        </w:rPr>
        <w:t>States</w:t>
      </w:r>
      <w:bookmarkEnd w:id="40"/>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B32F39" w:rsidRDefault="00B32F39">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1" w:name="_Toc420052544"/>
      <w:r w:rsidRPr="00330735">
        <w:rPr>
          <w:lang w:val="es-ES_tradnl" w:eastAsia="es-ES"/>
        </w:rPr>
        <w:t>TB NextContactDays</w:t>
      </w:r>
      <w:bookmarkEnd w:id="4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2" w:name="_Toc420052545"/>
      <w:r>
        <w:rPr>
          <w:lang w:val="es-ES_tradnl" w:eastAsia="es-ES"/>
        </w:rPr>
        <w:t>TB Languages</w:t>
      </w:r>
      <w:bookmarkEnd w:id="42"/>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3" w:name="_Toc420052546"/>
      <w:r w:rsidRPr="00FC578C">
        <w:rPr>
          <w:lang w:val="es-ES_tradnl" w:eastAsia="es-ES"/>
        </w:rPr>
        <w:t xml:space="preserve">TB </w:t>
      </w:r>
      <w:r>
        <w:rPr>
          <w:lang w:val="es-ES_tradnl" w:eastAsia="es-ES"/>
        </w:rPr>
        <w:t>Honorifics</w:t>
      </w:r>
      <w:bookmarkEnd w:id="43"/>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20052547"/>
      <w:r w:rsidRPr="00FC578C">
        <w:rPr>
          <w:lang w:val="es-ES_tradnl" w:eastAsia="es-ES"/>
        </w:rPr>
        <w:t>TB Product Families</w:t>
      </w:r>
      <w:bookmarkEnd w:id="4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20052548"/>
      <w:r w:rsidRPr="00FC578C">
        <w:rPr>
          <w:lang w:val="es-ES_tradnl" w:eastAsia="es-ES"/>
        </w:rPr>
        <w:t>TB INCOTERMS_2012</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6" w:name="_Toc420052549"/>
      <w:r w:rsidRPr="00802A64">
        <w:rPr>
          <w:lang w:val="es-ES_tradnl" w:eastAsia="es-ES"/>
        </w:rPr>
        <w:t>TB NumberOfDays</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7" w:name="_Toc420052550"/>
      <w:r w:rsidRPr="00BE3842">
        <w:rPr>
          <w:lang w:val="es-ES_tradnl" w:eastAsia="es-ES"/>
        </w:rPr>
        <w:t>TB Markets</w:t>
      </w:r>
      <w:bookmarkEnd w:id="47"/>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8" w:name="_Toc420052551"/>
      <w:r>
        <w:rPr>
          <w:lang w:val="es-ES_tradnl" w:eastAsia="es-ES"/>
        </w:rPr>
        <w:t>TB Region</w:t>
      </w:r>
      <w:r w:rsidRPr="00396C68">
        <w:rPr>
          <w:lang w:val="es-ES_tradnl" w:eastAsia="es-ES"/>
        </w:rPr>
        <w:t>s</w:t>
      </w:r>
      <w:bookmarkEnd w:id="4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7F1853" w:rsidRPr="00981521" w:rsidRDefault="007F1853" w:rsidP="007F1853">
      <w:pPr>
        <w:pStyle w:val="Encabezado3"/>
        <w:rPr>
          <w:lang w:val="es-ES_tradnl" w:eastAsia="es-ES"/>
        </w:rPr>
      </w:pPr>
      <w:bookmarkStart w:id="49" w:name="_Toc420052552"/>
      <w:r w:rsidRPr="00981521">
        <w:rPr>
          <w:lang w:val="es-ES_tradnl" w:eastAsia="es-ES"/>
        </w:rPr>
        <w:t xml:space="preserve">TB </w:t>
      </w:r>
      <w:r>
        <w:rPr>
          <w:lang w:val="es-ES_tradnl" w:eastAsia="es-ES"/>
        </w:rPr>
        <w:t>Continents</w:t>
      </w:r>
      <w:bookmarkEnd w:id="49"/>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APLICACIÓN: Listar los continentes bajo los cuales están agrupadas las regiones de la TB Regions.</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Continent</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Africa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America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Europe</w:t>
      </w:r>
    </w:p>
    <w:p w:rsidR="00BC622D" w:rsidRDefault="00E35E4F" w:rsidP="00E35E4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Oceania</w:t>
      </w:r>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0" w:name="_Toc420052553"/>
      <w:r w:rsidRPr="00981521">
        <w:rPr>
          <w:lang w:val="es-ES_tradnl" w:eastAsia="es-ES"/>
        </w:rPr>
        <w:t>TB Communication Types</w:t>
      </w:r>
      <w:bookmarkEnd w:id="5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Pr="00ED0AC2" w:rsidRDefault="00F36494" w:rsidP="006B6387">
      <w:pPr>
        <w:pStyle w:val="Encabezado3"/>
        <w:rPr>
          <w:lang w:val="es-ES_tradnl" w:eastAsia="es-ES"/>
        </w:rPr>
      </w:pPr>
      <w:bookmarkStart w:id="51" w:name="_Toc420052554"/>
      <w:r w:rsidRPr="00ED0AC2">
        <w:rPr>
          <w:lang w:val="es-ES_tradnl" w:eastAsia="es-ES"/>
        </w:rPr>
        <w:lastRenderedPageBreak/>
        <w:t>TB Reliability</w:t>
      </w:r>
      <w:bookmarkEnd w:id="5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52555"/>
      <w:r w:rsidRPr="00ED0AC2">
        <w:rPr>
          <w:lang w:val="es-ES_tradnl" w:eastAsia="es-ES"/>
        </w:rPr>
        <w:t>TB Importance</w:t>
      </w:r>
      <w:bookmarkEnd w:id="5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3" w:name="_Toc420052556"/>
      <w:r w:rsidRPr="00E858B1">
        <w:rPr>
          <w:lang w:val="es-ES_tradnl" w:eastAsia="es-ES"/>
        </w:rPr>
        <w:t xml:space="preserve">TB </w:t>
      </w:r>
      <w:r>
        <w:rPr>
          <w:lang w:val="es-ES_tradnl" w:eastAsia="es-ES"/>
        </w:rPr>
        <w:t>Currencies</w:t>
      </w:r>
      <w:bookmarkEnd w:id="5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4" w:name="_Toc420052557"/>
      <w:r>
        <w:rPr>
          <w:lang w:eastAsia="es-ES"/>
        </w:rPr>
        <w:t>TB Price Groups</w:t>
      </w:r>
      <w:bookmarkEnd w:id="54"/>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5" w:name="_Ref515364360"/>
            <w:r>
              <w:t>Resumen de i</w:t>
            </w:r>
            <w:r w:rsidR="00965419">
              <w:t>dentificación:</w:t>
            </w:r>
            <w:bookmarkEnd w:id="55"/>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1"/>
      <w:footerReference w:type="even" r:id="rId32"/>
      <w:footerReference w:type="default" r:id="rId33"/>
      <w:headerReference w:type="first" r:id="rId34"/>
      <w:footerReference w:type="first" r:id="rId35"/>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B12" w:rsidRDefault="00946B12">
      <w:r>
        <w:separator/>
      </w:r>
    </w:p>
  </w:endnote>
  <w:endnote w:type="continuationSeparator" w:id="0">
    <w:p w:rsidR="00946B12" w:rsidRDefault="0094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5B4AAA">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519B8">
            <w:rPr>
              <w:noProof/>
              <w:sz w:val="18"/>
              <w:lang w:eastAsia="es-ES"/>
            </w:rPr>
            <w:t>24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519B8">
            <w:rPr>
              <w:noProof/>
              <w:sz w:val="14"/>
              <w:szCs w:val="16"/>
              <w:lang w:eastAsia="es-ES"/>
            </w:rPr>
            <w:t>35</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5B4AAA">
            <w:rPr>
              <w:noProof/>
              <w:lang w:eastAsia="es-ES"/>
            </w:rPr>
            <w:t>2</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B12" w:rsidRDefault="00946B12">
      <w:r>
        <w:separator/>
      </w:r>
    </w:p>
  </w:footnote>
  <w:footnote w:type="continuationSeparator" w:id="0">
    <w:p w:rsidR="00946B12" w:rsidRDefault="00946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6B12"/>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64B2"/>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2B3B"/>
    <w:rsid w:val="00E3332A"/>
    <w:rsid w:val="00E33840"/>
    <w:rsid w:val="00E34217"/>
    <w:rsid w:val="00E342D7"/>
    <w:rsid w:val="00E35098"/>
    <w:rsid w:val="00E35E4F"/>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9D0AC-37BE-4248-BAAF-7D87B156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35</Pages>
  <Words>3076</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25</cp:revision>
  <cp:lastPrinted>2015-05-21T16:31:00Z</cp:lastPrinted>
  <dcterms:created xsi:type="dcterms:W3CDTF">2015-05-21T07:57:00Z</dcterms:created>
  <dcterms:modified xsi:type="dcterms:W3CDTF">2015-05-22T08:06:00Z</dcterms:modified>
</cp:coreProperties>
</file>