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spacing w:before="0" w:after="240"/>
        <w:jc w:val="center"/>
      </w:pPr>
      <w:r>
        <w:rPr>
          <w:rFonts w:ascii="Arial" w:cs="Arial" w:eastAsia="Arial" w:hAnsi="Arial"/>
          <w:b/>
          <w:bCs/>
          <w:color w:val="00B4B4"/>
          <w:sz w:val="20"/>
          <w:szCs w:val="20"/>
        </w:rPr>
        <w:t xml:space="preserve">WORKATO  |  FY2026–2027</w:t>
      </w:r>
    </w:p>
    <w:p>
      <w:pPr>
        <w:spacing w:before="0" w:after="120"/>
        <w:jc w:val="center"/>
      </w:pPr>
      <w:r>
        <w:rPr>
          <w:rFonts w:ascii="Arial" w:cs="Arial" w:eastAsia="Arial" w:hAnsi="Arial"/>
          <w:b/>
          <w:bCs/>
          <w:color w:val="1F2937"/>
          <w:sz w:val="48"/>
          <w:szCs w:val="48"/>
        </w:rPr>
        <w:t xml:space="preserve">Industry Overview</w:t>
      </w:r>
    </w:p>
    <w:p>
      <w:pPr>
        <w:spacing w:before="0" w:after="480"/>
        <w:jc w:val="center"/>
      </w:pPr>
      <w:r>
        <w:rPr>
          <w:rFonts w:ascii="Arial" w:cs="Arial" w:eastAsia="Arial" w:hAnsi="Arial"/>
          <w:b/>
          <w:bCs/>
          <w:color w:val="00B4B4"/>
          <w:sz w:val="56"/>
          <w:szCs w:val="56"/>
        </w:rPr>
        <w:t xml:space="preserve">Banking &amp; Financial Services</w:t>
      </w:r>
    </w:p>
    <w:p>
      <w:pPr>
        <w:pBdr>
          <w:bottom w:val="single" w:color="00B4B4" w:sz="6" w:space="1"/>
        </w:pBdr>
        <w:spacing w:before="80" w:after="80"/>
      </w:pPr>
    </w:p>
    <w:p>
      <w:pPr>
        <w:spacing w:before="0" w:after="240"/>
      </w:pPr>
    </w:p>
    <w:p>
      <w:pPr>
        <w:spacing w:before="0" w:after="80"/>
        <w:jc w:val="center"/>
      </w:pPr>
      <w:r>
        <w:rPr>
          <w:rFonts w:ascii="Arial" w:cs="Arial" w:eastAsia="Arial" w:hAnsi="Arial"/>
          <w:b/>
          <w:bCs/>
          <w:color w:val="4B5563"/>
          <w:sz w:val="24"/>
          <w:szCs w:val="24"/>
        </w:rPr>
        <w:t xml:space="preserve">Sub-Verticals Covered:</w:t>
      </w:r>
    </w:p>
    <w:p>
      <w:pPr>
        <w:spacing w:before="40" w:after="40"/>
        <w:jc w:val="center"/>
      </w:pPr>
      <w:r>
        <w:rPr>
          <w:rFonts w:ascii="Arial" w:cs="Arial" w:eastAsia="Arial" w:hAnsi="Arial"/>
          <w:color w:val="1F2937"/>
          <w:sz w:val="24"/>
          <w:szCs w:val="24"/>
        </w:rPr>
        <w:t xml:space="preserve">Traditional Banking  ·  FinTech / Digital-First  ·  Wealth Management</w:t>
      </w:r>
    </w:p>
    <w:p>
      <w:pPr>
        <w:spacing w:before="0" w:after="480"/>
      </w:pPr>
    </w:p>
    <w:p>
      <w:pPr>
        <w:jc w:val="center"/>
      </w:pPr>
      <w:r>
        <w:rPr>
          <w:rFonts w:ascii="Arial" w:cs="Arial" w:eastAsia="Arial" w:hAnsi="Arial"/>
          <w:b/>
          <w:bCs/>
          <w:color w:val="4B5563"/>
          <w:sz w:val="18"/>
          <w:szCs w:val="18"/>
        </w:rPr>
        <w:t xml:space="preserve">CONFIDENTIAL — FOR INTERNAL USE ONLY</w:t>
      </w:r>
    </w:p>
    <w:p>
      <w:r>
        <w:br w:type="page"/>
      </w:r>
    </w:p>
    <w:p>
      <w:pPr>
        <w:pStyle w:val="Heading1"/>
        <w:spacing w:before="360" w:after="120"/>
      </w:pPr>
      <w:r>
        <w:rPr>
          <w:rFonts w:ascii="Arial" w:cs="Arial" w:eastAsia="Arial" w:hAnsi="Arial"/>
          <w:b/>
          <w:bCs/>
          <w:color w:val="1F2937"/>
          <w:sz w:val="36"/>
          <w:szCs w:val="36"/>
        </w:rPr>
        <w:t xml:space="preserve">Table of Contents</w:t>
      </w:r>
    </w:p>
    <w:p>
      <w:pPr>
        <w:spacing w:before="60" w:after="60"/>
      </w:pPr>
      <w:r>
        <w:rPr>
          <w:rFonts w:ascii="Arial" w:cs="Arial" w:eastAsia="Arial" w:hAnsi="Arial"/>
          <w:sz w:val="22"/>
          <w:szCs w:val="22"/>
        </w:rPr>
        <w:t xml:space="preserve">Chapter 1: Industry Definition &amp; Summary</w:t>
      </w:r>
    </w:p>
    <w:p>
      <w:pPr>
        <w:spacing w:before="60" w:after="60"/>
      </w:pPr>
      <w:r>
        <w:rPr>
          <w:rFonts w:ascii="Arial" w:cs="Arial" w:eastAsia="Arial" w:hAnsi="Arial"/>
          <w:sz w:val="22"/>
          <w:szCs w:val="22"/>
        </w:rPr>
        <w:t xml:space="preserve">Chapter 2: Current Industry Trends</w:t>
      </w:r>
    </w:p>
    <w:p>
      <w:pPr>
        <w:spacing w:before="60" w:after="60"/>
      </w:pPr>
      <w:r>
        <w:rPr>
          <w:rFonts w:ascii="Arial" w:cs="Arial" w:eastAsia="Arial" w:hAnsi="Arial"/>
          <w:sz w:val="22"/>
          <w:szCs w:val="22"/>
        </w:rPr>
        <w:t xml:space="preserve">Chapter 3: Current AI/Automation/Orchestration Landscape</w:t>
      </w:r>
    </w:p>
    <w:p>
      <w:pPr>
        <w:spacing w:before="60" w:after="60"/>
      </w:pPr>
      <w:r>
        <w:rPr>
          <w:rFonts w:ascii="Arial" w:cs="Arial" w:eastAsia="Arial" w:hAnsi="Arial"/>
          <w:sz w:val="22"/>
          <w:szCs w:val="22"/>
        </w:rPr>
        <w:t xml:space="preserve">Chapter 4: Target Personas</w:t>
      </w:r>
    </w:p>
    <w:p>
      <w:pPr>
        <w:spacing w:before="60" w:after="60"/>
      </w:pPr>
      <w:r>
        <w:rPr>
          <w:rFonts w:ascii="Arial" w:cs="Arial" w:eastAsia="Arial" w:hAnsi="Arial"/>
          <w:sz w:val="22"/>
          <w:szCs w:val="22"/>
        </w:rPr>
        <w:t xml:space="preserve">Chapter 5: High-Potential AI &amp; Automation Use Cases</w:t>
      </w:r>
    </w:p>
    <w:p>
      <w:pPr>
        <w:spacing w:before="60" w:after="60"/>
      </w:pPr>
      <w:r>
        <w:rPr>
          <w:rFonts w:ascii="Arial" w:cs="Arial" w:eastAsia="Arial" w:hAnsi="Arial"/>
          <w:sz w:val="22"/>
          <w:szCs w:val="22"/>
        </w:rPr>
        <w:t xml:space="preserve">Chapter 6: Technology Ecosystem Overview</w:t>
      </w:r>
    </w:p>
    <w:p>
      <w:pPr>
        <w:spacing w:before="60" w:after="60"/>
      </w:pPr>
      <w:r>
        <w:rPr>
          <w:rFonts w:ascii="Arial" w:cs="Arial" w:eastAsia="Arial" w:hAnsi="Arial"/>
          <w:sz w:val="22"/>
          <w:szCs w:val="22"/>
        </w:rPr>
        <w:t xml:space="preserve">Chapter 7: Competitive Landscape (WSS-Aligned)</w:t>
      </w:r>
    </w:p>
    <w:p>
      <w:pPr>
        <w:spacing w:before="60" w:after="60"/>
      </w:pPr>
      <w:r>
        <w:rPr>
          <w:rFonts w:ascii="Arial" w:cs="Arial" w:eastAsia="Arial" w:hAnsi="Arial"/>
          <w:sz w:val="22"/>
          <w:szCs w:val="22"/>
        </w:rPr>
        <w:t xml:space="preserve">Chapter 8: Customer Proof &amp; References</w:t>
      </w:r>
    </w:p>
    <w:p>
      <w:r>
        <w:br w:type="page"/>
      </w:r>
    </w:p>
    <w:p>
      <w:pPr>
        <w:pStyle w:val="Heading1"/>
        <w:spacing w:before="360" w:after="120"/>
      </w:pPr>
      <w:r>
        <w:rPr>
          <w:rFonts w:ascii="Arial" w:cs="Arial" w:eastAsia="Arial" w:hAnsi="Arial"/>
          <w:b/>
          <w:bCs/>
          <w:color w:val="1F2937"/>
          <w:sz w:val="36"/>
          <w:szCs w:val="36"/>
        </w:rPr>
        <w:t xml:space="preserve">Chapter 1: Industry Definition &amp; Summary</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1A. Industry Overview &amp; Scope — Banking &amp; Financial Services</w:t>
      </w:r>
    </w:p>
    <w:p>
      <w:pPr>
        <w:spacing w:before="60" w:after="60"/>
      </w:pPr>
      <w:r>
        <w:rPr>
          <w:rFonts w:ascii="Arial" w:cs="Arial" w:eastAsia="Arial" w:hAnsi="Arial"/>
          <w:b w:val="false"/>
          <w:bCs w:val="false"/>
          <w:color w:val="1F2937"/>
          <w:sz w:val="22"/>
          <w:szCs w:val="22"/>
        </w:rPr>
        <w:t xml:space="preserve">Banking and Financial Services (FinServ) encompasses the full spectrum of institutions that manage, move, lend, invest, and protect capital. For FY26–27, Workato's addressable market spans regulated institutions navigating a dual mandate: modernizing legacy infrastructure while deploying agentic AI at scale. The sector is defined by high data volumes, strict regulatory requirements, complex system estates, and intensifying competitive pressure from digital-native entrants.</w:t>
      </w:r>
    </w:p>
    <w:p>
      <w:pPr>
        <w:spacing w:before="0" w:after="120"/>
      </w:pPr>
    </w:p>
    <w:p>
      <w:pPr>
        <w:spacing w:before="40" w:after="40"/>
      </w:pPr>
      <w:r>
        <w:rPr>
          <w:rFonts w:ascii="Arial" w:cs="Arial" w:eastAsia="Arial" w:hAnsi="Arial"/>
          <w:color w:val="4B5563"/>
          <w:sz w:val="20"/>
          <w:szCs w:val="20"/>
        </w:rPr>
        <w:t xml:space="preserve">PMM Note — Market Sizing: Supplement with current Gartner/Forrester TAM/SAM data for iPaaS, automation, and agentic AI spend in financial services. Reference IDC data on FinServ IT spending where available.</w:t>
      </w:r>
    </w:p>
    <w:p>
      <w:pPr>
        <w:spacing w:before="0" w:after="120"/>
      </w:pPr>
    </w:p>
    <w:p>
      <w:pPr>
        <w:pStyle w:val="Heading3"/>
        <w:spacing w:before="200" w:after="80"/>
      </w:pPr>
      <w:r>
        <w:rPr>
          <w:rFonts w:ascii="Arial" w:cs="Arial" w:eastAsia="Arial" w:hAnsi="Arial"/>
          <w:b/>
          <w:bCs/>
          <w:color w:val="1F2937"/>
          <w:sz w:val="24"/>
          <w:szCs w:val="24"/>
        </w:rPr>
        <w:t xml:space="preserve">FinServ Sub-Segments &amp; Workato ARR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880"/>
        <w:gridCol w:w="1680"/>
      </w:tblGrid>
      <w:tr>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Sub-Segment</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Customers</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 of FinServ</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ARR</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 ARR</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FinTech / Digital-First</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29</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40.3%</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$6,031,761</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45.5%</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Wealth &amp; Asset Management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$2,660,941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20.1%</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Banking (All)</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13</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18.0%</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$1,680,488</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12.7%</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Insurance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$948,632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7.2%</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Capital Markets</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5.6%</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$681,412</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5.1%</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Other (Fannie Mae, captive auto, etc.)</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6.9%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$1,258,408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9.5%</w:t>
            </w:r>
          </w:p>
        </w:tc>
      </w:tr>
      <w:tr>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TOTAL FINSERV</w:t>
            </w:r>
          </w:p>
        </w:tc>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72</w:t>
            </w:r>
          </w:p>
        </w:tc>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100%</w:t>
            </w:r>
          </w:p>
        </w:tc>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$13,261,642</w:t>
            </w:r>
          </w:p>
        </w:tc>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100%</w:t>
            </w:r>
          </w:p>
        </w:tc>
      </w:tr>
    </w:tbl>
    <w:p>
      <w:pPr>
        <w:spacing w:before="40" w:after="40"/>
      </w:pPr>
      <w:r>
        <w:rPr>
          <w:rFonts w:ascii="Arial" w:cs="Arial" w:eastAsia="Arial" w:hAnsi="Arial"/>
          <w:color w:val="4B5563"/>
          <w:sz w:val="20"/>
          <w:szCs w:val="20"/>
        </w:rPr>
        <w:t xml:space="preserve">Source: Analysis of Finance accounts with ARR &gt; $50K.</w:t>
      </w:r>
    </w:p>
    <w:p>
      <w:pPr>
        <w:spacing w:before="0" w:after="120"/>
      </w:pPr>
    </w:p>
    <w:p>
      <w:pPr>
        <w:pStyle w:val="Heading3"/>
        <w:spacing w:before="200" w:after="80"/>
      </w:pPr>
      <w:r>
        <w:rPr>
          <w:rFonts w:ascii="Arial" w:cs="Arial" w:eastAsia="Arial" w:hAnsi="Arial"/>
          <w:b/>
          <w:bCs/>
          <w:color w:val="1F2937"/>
          <w:sz w:val="24"/>
          <w:szCs w:val="24"/>
        </w:rPr>
        <w:t xml:space="preserve">Key Business Drivers &amp; Priorities</w:t>
      </w:r>
    </w:p>
    <w:p>
      <w:pPr>
        <w:pStyle w:val="ListParagraph"/>
        <w:numPr>
          <w:ilvl w:val="0"/>
          <w:numId w:val="2"/>
        </w:numPr>
        <w:spacing w:before="40" w:after="40"/>
      </w:pPr>
      <w:r>
        <w:rPr>
          <w:rFonts w:ascii="Arial" w:cs="Arial" w:eastAsia="Arial" w:hAnsi="Arial"/>
          <w:b w:val="false"/>
          <w:bCs w:val="false"/>
          <w:sz w:val="22"/>
          <w:szCs w:val="22"/>
        </w:rPr>
        <w:t xml:space="preserve">Digital transformation: Shift from on-prem legacy cores to cloud-native architectures while maintaining 24/7 uptime.</w:t>
      </w:r>
    </w:p>
    <w:p>
      <w:pPr>
        <w:pStyle w:val="ListParagraph"/>
        <w:numPr>
          <w:ilvl w:val="0"/>
          <w:numId w:val="2"/>
        </w:numPr>
        <w:spacing w:before="40" w:after="40"/>
      </w:pPr>
      <w:r>
        <w:rPr>
          <w:rFonts w:ascii="Arial" w:cs="Arial" w:eastAsia="Arial" w:hAnsi="Arial"/>
          <w:b w:val="false"/>
          <w:bCs w:val="false"/>
          <w:sz w:val="22"/>
          <w:szCs w:val="22"/>
        </w:rPr>
        <w:t xml:space="preserve">AI-readiness: Connecting fragmented systems to make data accessible to AI models and agentic workflows.</w:t>
      </w:r>
    </w:p>
    <w:p>
      <w:pPr>
        <w:pStyle w:val="ListParagraph"/>
        <w:numPr>
          <w:ilvl w:val="0"/>
          <w:numId w:val="2"/>
        </w:numPr>
        <w:spacing w:before="40" w:after="40"/>
      </w:pPr>
      <w:r>
        <w:rPr>
          <w:rFonts w:ascii="Arial" w:cs="Arial" w:eastAsia="Arial" w:hAnsi="Arial"/>
          <w:b w:val="false"/>
          <w:bCs w:val="false"/>
          <w:sz w:val="22"/>
          <w:szCs w:val="22"/>
        </w:rPr>
        <w:t xml:space="preserve">Customer acquisition &amp; retention: Competing for digital-first customers (especially Gen-Z) demanding instant, mobile-friendly experiences.</w:t>
      </w:r>
    </w:p>
    <w:p>
      <w:pPr>
        <w:pStyle w:val="ListParagraph"/>
        <w:numPr>
          <w:ilvl w:val="0"/>
          <w:numId w:val="2"/>
        </w:numPr>
        <w:spacing w:before="40" w:after="40"/>
      </w:pPr>
      <w:r>
        <w:rPr>
          <w:rFonts w:ascii="Arial" w:cs="Arial" w:eastAsia="Arial" w:hAnsi="Arial"/>
          <w:b w:val="false"/>
          <w:bCs w:val="false"/>
          <w:sz w:val="22"/>
          <w:szCs w:val="22"/>
        </w:rPr>
        <w:t xml:space="preserve">Regulatory compliance: Automating KYC/AML, AML reporting, HMDA, EMIR, MiFID II, Dodd-Frank, SEC filings.</w:t>
      </w:r>
    </w:p>
    <w:p>
      <w:pPr>
        <w:pStyle w:val="ListParagraph"/>
        <w:numPr>
          <w:ilvl w:val="0"/>
          <w:numId w:val="2"/>
        </w:numPr>
        <w:spacing w:before="40" w:after="40"/>
      </w:pPr>
      <w:r>
        <w:rPr>
          <w:rFonts w:ascii="Arial" w:cs="Arial" w:eastAsia="Arial" w:hAnsi="Arial"/>
          <w:b w:val="false"/>
          <w:bCs w:val="false"/>
          <w:sz w:val="22"/>
          <w:szCs w:val="22"/>
        </w:rPr>
        <w:t xml:space="preserve">Cost efficiency: Reducing operational expense via automation of finance, HR, IT, and back-office workflows.</w:t>
      </w:r>
    </w:p>
    <w:p>
      <w:pPr>
        <w:pStyle w:val="ListParagraph"/>
        <w:numPr>
          <w:ilvl w:val="0"/>
          <w:numId w:val="2"/>
        </w:numPr>
        <w:spacing w:before="40" w:after="40"/>
      </w:pPr>
      <w:r>
        <w:rPr>
          <w:rFonts w:ascii="Arial" w:cs="Arial" w:eastAsia="Arial" w:hAnsi="Arial"/>
          <w:b w:val="false"/>
          <w:bCs w:val="false"/>
          <w:sz w:val="22"/>
          <w:szCs w:val="22"/>
        </w:rPr>
        <w:t xml:space="preserve">Revenue growth: Marketing automation and cross-sell/upsell orchestration across products and customer segments.</w:t>
      </w:r>
    </w:p>
    <w:p>
      <w:pPr>
        <w:spacing w:before="0" w:after="120"/>
      </w:pPr>
    </w:p>
    <w:p>
      <w:pPr>
        <w:pStyle w:val="Heading3"/>
        <w:spacing w:before="200" w:after="80"/>
      </w:pPr>
      <w:r>
        <w:rPr>
          <w:rFonts w:ascii="Arial" w:cs="Arial" w:eastAsia="Arial" w:hAnsi="Arial"/>
          <w:b/>
          <w:bCs/>
          <w:color w:val="1F2937"/>
          <w:sz w:val="24"/>
          <w:szCs w:val="24"/>
        </w:rPr>
        <w:t xml:space="preserve">Regulatory Environment &amp;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Regulation / Framework</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Applies To</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KYC / AML (Bank Secrecy Act)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All FIs — customer onboarding, ongoing monitoring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HMDA / CRA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Lending institutions — mortgage data reporting</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GDPR / CCPA</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All FIs with EU/California customers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SOC 2 Type II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SaaS/cloud providers and their enterprise customers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SEC Reporting (EDGAR, Form ADV)</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Investment advisors, broker-dealers, public companies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EMIR / MiFID II / Dodd-Frank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Capital markets, derivatives, trading entities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DORA (Digital Operational Resilience Act)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EU-regulated FIs — operational resilience &amp; IT risk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PCI DSS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Payment processors, card networks</w:t>
            </w:r>
          </w:p>
        </w:tc>
      </w:tr>
    </w:tbl>
    <w:p>
      <w:pPr>
        <w:spacing w:before="0"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7A" w:sz="1"/>
              <w:left w:val="single" w:color="007A7A" w:sz="1"/>
              <w:bottom w:val="single" w:color="007A7A" w:sz="1"/>
              <w:right w:val="single" w:color="007A7A" w:sz="1"/>
            </w:tcBorders>
            <w:shd w:fill="007A7A" w:val="clear"/>
            <w:tcMar>
              <w:top w:type="dxa" w:w="100"/>
              <w:left w:type="dxa" w:w="200"/>
              <w:bottom w:type="dxa" w:w="100"/>
              <w:right w:type="dxa" w:w="200"/>
            </w:tcMar>
          </w:tcPr>
          <w:p>
            <w:r>
              <w:rPr>
                <w:rFonts w:ascii="Arial" w:cs="Arial" w:eastAsia="Arial" w:hAnsi="Arial"/>
                <w:b/>
                <w:bCs/>
                <w:color w:val="FFFFFF"/>
                <w:sz w:val="26"/>
                <w:szCs w:val="26"/>
              </w:rPr>
              <w:t xml:space="preserve">Sub-Vertical: Banks &amp; Credit Unions (Traditional Banking)</w:t>
            </w:r>
          </w:p>
        </w:tc>
      </w:tr>
    </w:tbl>
    <w:p>
      <w:pPr>
        <w:spacing w:before="0" w:after="80"/>
      </w:pPr>
    </w:p>
    <w:p>
      <w:pPr>
        <w:pStyle w:val="Heading3"/>
        <w:spacing w:before="200" w:after="80"/>
      </w:pPr>
      <w:r>
        <w:rPr>
          <w:rFonts w:ascii="Arial" w:cs="Arial" w:eastAsia="Arial" w:hAnsi="Arial"/>
          <w:b/>
          <w:bCs/>
          <w:color w:val="1F2937"/>
          <w:sz w:val="24"/>
          <w:szCs w:val="24"/>
        </w:rPr>
        <w:t xml:space="preserve">Overview &amp; Scope</w:t>
      </w:r>
    </w:p>
    <w:p>
      <w:pPr>
        <w:spacing w:before="60" w:after="60"/>
      </w:pPr>
      <w:r>
        <w:rPr>
          <w:rFonts w:ascii="Arial" w:cs="Arial" w:eastAsia="Arial" w:hAnsi="Arial"/>
          <w:b w:val="false"/>
          <w:bCs w:val="false"/>
          <w:color w:val="1F2937"/>
          <w:sz w:val="22"/>
          <w:szCs w:val="22"/>
        </w:rPr>
        <w:t xml:space="preserve">This segment includes commercial banks, community banks, credit unions, and regional banks. They operate on legacy core banking systems (Jack Henry, Fiserv, FIS, Finastra, Q2, Corelation) and face pressure to modernize without disrupting mission-critical operations. Community banks and credit unions (7 customers, $782K ARR) represent Workato's largest banking subsegment by count, while commercial banks (5 customers, $848K ARR) represent the highest ARR concentration.</w:t>
      </w:r>
    </w:p>
    <w:p>
      <w:pPr>
        <w:spacing w:before="0" w:after="120"/>
      </w:pPr>
    </w:p>
    <w:p>
      <w:pPr>
        <w:pStyle w:val="Heading3"/>
        <w:spacing w:before="200" w:after="80"/>
      </w:pPr>
      <w:r>
        <w:rPr>
          <w:rFonts w:ascii="Arial" w:cs="Arial" w:eastAsia="Arial" w:hAnsi="Arial"/>
          <w:b/>
          <w:bCs/>
          <w:color w:val="1F2937"/>
          <w:sz w:val="24"/>
          <w:szCs w:val="24"/>
        </w:rPr>
        <w:t xml:space="preserve">Key Business Drivers</w:t>
      </w:r>
    </w:p>
    <w:p>
      <w:pPr>
        <w:pStyle w:val="ListParagraph"/>
        <w:numPr>
          <w:ilvl w:val="0"/>
          <w:numId w:val="2"/>
        </w:numPr>
        <w:spacing w:before="40" w:after="40"/>
      </w:pPr>
      <w:r>
        <w:rPr>
          <w:rFonts w:ascii="Arial" w:cs="Arial" w:eastAsia="Arial" w:hAnsi="Arial"/>
          <w:b w:val="false"/>
          <w:bCs w:val="false"/>
          <w:sz w:val="22"/>
          <w:szCs w:val="22"/>
        </w:rPr>
        <w:t xml:space="preserve">Core banking modernization: Migrating from on-prem legacy systems to cloud while maintaining 24/7 availability.</w:t>
      </w:r>
    </w:p>
    <w:p>
      <w:pPr>
        <w:pStyle w:val="ListParagraph"/>
        <w:numPr>
          <w:ilvl w:val="0"/>
          <w:numId w:val="2"/>
        </w:numPr>
        <w:spacing w:before="40" w:after="40"/>
      </w:pPr>
      <w:r>
        <w:rPr>
          <w:rFonts w:ascii="Arial" w:cs="Arial" w:eastAsia="Arial" w:hAnsi="Arial"/>
          <w:b w:val="false"/>
          <w:bCs w:val="false"/>
          <w:sz w:val="22"/>
          <w:szCs w:val="22"/>
        </w:rPr>
        <w:t xml:space="preserve">Digital account opening: Meeting customer expectations for instant, mobile-first account creation.</w:t>
      </w:r>
    </w:p>
    <w:p>
      <w:pPr>
        <w:pStyle w:val="ListParagraph"/>
        <w:numPr>
          <w:ilvl w:val="0"/>
          <w:numId w:val="2"/>
        </w:numPr>
        <w:spacing w:before="40" w:after="40"/>
      </w:pPr>
      <w:r>
        <w:rPr>
          <w:rFonts w:ascii="Arial" w:cs="Arial" w:eastAsia="Arial" w:hAnsi="Arial"/>
          <w:b w:val="false"/>
          <w:bCs w:val="false"/>
          <w:sz w:val="22"/>
          <w:szCs w:val="22"/>
        </w:rPr>
        <w:t xml:space="preserve">Loan origination &amp; processing: Reducing cycle times (7–14 days manual → same-day AI-assisted decisioning).</w:t>
      </w:r>
    </w:p>
    <w:p>
      <w:pPr>
        <w:pStyle w:val="ListParagraph"/>
        <w:numPr>
          <w:ilvl w:val="0"/>
          <w:numId w:val="2"/>
        </w:numPr>
        <w:spacing w:before="40" w:after="40"/>
      </w:pPr>
      <w:r>
        <w:rPr>
          <w:rFonts w:ascii="Arial" w:cs="Arial" w:eastAsia="Arial" w:hAnsi="Arial"/>
          <w:b w:val="false"/>
          <w:bCs w:val="false"/>
          <w:sz w:val="22"/>
          <w:szCs w:val="22"/>
        </w:rPr>
        <w:t xml:space="preserve">Competing for first-time credit buyers: Gen-Z customers choose digital-first fintechs over traditional banks.</w:t>
      </w:r>
    </w:p>
    <w:p>
      <w:pPr>
        <w:pStyle w:val="ListParagraph"/>
        <w:numPr>
          <w:ilvl w:val="0"/>
          <w:numId w:val="2"/>
        </w:numPr>
        <w:spacing w:before="40" w:after="40"/>
      </w:pPr>
      <w:r>
        <w:rPr>
          <w:rFonts w:ascii="Arial" w:cs="Arial" w:eastAsia="Arial" w:hAnsi="Arial"/>
          <w:b w:val="false"/>
          <w:bCs w:val="false"/>
          <w:sz w:val="22"/>
          <w:szCs w:val="22"/>
        </w:rPr>
        <w:t xml:space="preserve">Regulatory reporting: HMDA, CRA, BSA/AML compliance with automated audit trails.</w:t>
      </w:r>
    </w:p>
    <w:p>
      <w:pPr>
        <w:pStyle w:val="ListParagraph"/>
        <w:numPr>
          <w:ilvl w:val="0"/>
          <w:numId w:val="2"/>
        </w:numPr>
        <w:spacing w:before="40" w:after="40"/>
      </w:pPr>
      <w:r>
        <w:rPr>
          <w:rFonts w:ascii="Arial" w:cs="Arial" w:eastAsia="Arial" w:hAnsi="Arial"/>
          <w:b w:val="false"/>
          <w:bCs w:val="false"/>
          <w:sz w:val="22"/>
          <w:szCs w:val="22"/>
        </w:rPr>
        <w:t xml:space="preserve">Low-code accessibility: Smaller dev teams need citizen builder tools — cannot afford large integration teams.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7A" w:sz="1"/>
              <w:left w:val="single" w:color="007A7A" w:sz="1"/>
              <w:bottom w:val="single" w:color="007A7A" w:sz="1"/>
              <w:right w:val="single" w:color="007A7A" w:sz="1"/>
            </w:tcBorders>
            <w:shd w:fill="007A7A" w:val="clear"/>
            <w:tcMar>
              <w:top w:type="dxa" w:w="100"/>
              <w:left w:type="dxa" w:w="200"/>
              <w:bottom w:type="dxa" w:w="100"/>
              <w:right w:type="dxa" w:w="200"/>
            </w:tcMar>
          </w:tcPr>
          <w:p>
            <w:r>
              <w:rPr>
                <w:rFonts w:ascii="Arial" w:cs="Arial" w:eastAsia="Arial" w:hAnsi="Arial"/>
                <w:b/>
                <w:bCs/>
                <w:color w:val="FFFFFF"/>
                <w:sz w:val="26"/>
                <w:szCs w:val="26"/>
              </w:rPr>
              <w:t xml:space="preserve">Sub-Vertical: Financial Services / FinTech (Digital-First)</w:t>
            </w:r>
          </w:p>
        </w:tc>
      </w:tr>
    </w:tbl>
    <w:p>
      <w:pPr>
        <w:spacing w:before="0" w:after="80"/>
      </w:pPr>
    </w:p>
    <w:p>
      <w:pPr>
        <w:pStyle w:val="Heading3"/>
        <w:spacing w:before="200" w:after="80"/>
      </w:pPr>
      <w:r>
        <w:rPr>
          <w:rFonts w:ascii="Arial" w:cs="Arial" w:eastAsia="Arial" w:hAnsi="Arial"/>
          <w:b/>
          <w:bCs/>
          <w:color w:val="1F2937"/>
          <w:sz w:val="24"/>
          <w:szCs w:val="24"/>
        </w:rPr>
        <w:t xml:space="preserve">Overview &amp; Scope</w:t>
      </w:r>
    </w:p>
    <w:p>
      <w:pPr>
        <w:spacing w:before="60" w:after="60"/>
      </w:pPr>
      <w:r>
        <w:rPr>
          <w:rFonts w:ascii="Arial" w:cs="Arial" w:eastAsia="Arial" w:hAnsi="Arial"/>
          <w:b w:val="false"/>
          <w:bCs w:val="false"/>
          <w:color w:val="1F2937"/>
          <w:sz w:val="22"/>
          <w:szCs w:val="22"/>
        </w:rPr>
        <w:t xml:space="preserve">FinTech and digital-first financial services companies represent Workato's largest FinServ segment by both customer count (29) and ARR (45.5%, $6M). These are fast-scaling platforms — payments processors, digital lenders, embedded finance players, and financial infrastructure companies — that require enterprise-grade automation and integration without the overhead of legacy IT org structures. Examples: Affirm, Revolut, Synchrony, Pagaya, Lightbulb Credit, Ramp, Bread Financial, Paysafe.</w:t>
      </w:r>
    </w:p>
    <w:p>
      <w:pPr>
        <w:spacing w:before="0" w:after="120"/>
      </w:pPr>
    </w:p>
    <w:p>
      <w:pPr>
        <w:pStyle w:val="Heading3"/>
        <w:spacing w:before="200" w:after="80"/>
      </w:pPr>
      <w:r>
        <w:rPr>
          <w:rFonts w:ascii="Arial" w:cs="Arial" w:eastAsia="Arial" w:hAnsi="Arial"/>
          <w:b/>
          <w:bCs/>
          <w:color w:val="1F2937"/>
          <w:sz w:val="24"/>
          <w:szCs w:val="24"/>
        </w:rPr>
        <w:t xml:space="preserve">Key Business Drivers</w:t>
      </w:r>
    </w:p>
    <w:p>
      <w:pPr>
        <w:pStyle w:val="ListParagraph"/>
        <w:numPr>
          <w:ilvl w:val="0"/>
          <w:numId w:val="2"/>
        </w:numPr>
        <w:spacing w:before="40" w:after="40"/>
      </w:pPr>
      <w:r>
        <w:rPr>
          <w:rFonts w:ascii="Arial" w:cs="Arial" w:eastAsia="Arial" w:hAnsi="Arial"/>
          <w:b w:val="false"/>
          <w:bCs w:val="false"/>
          <w:sz w:val="22"/>
          <w:szCs w:val="22"/>
        </w:rPr>
        <w:t xml:space="preserve">Instant customer onboarding: Customers expect account creation in minutes — not days.</w:t>
      </w:r>
    </w:p>
    <w:p>
      <w:pPr>
        <w:pStyle w:val="ListParagraph"/>
        <w:numPr>
          <w:ilvl w:val="0"/>
          <w:numId w:val="2"/>
        </w:numPr>
        <w:spacing w:before="40" w:after="40"/>
      </w:pPr>
      <w:r>
        <w:rPr>
          <w:rFonts w:ascii="Arial" w:cs="Arial" w:eastAsia="Arial" w:hAnsi="Arial"/>
          <w:b w:val="false"/>
          <w:bCs w:val="false"/>
          <w:sz w:val="22"/>
          <w:szCs w:val="22"/>
        </w:rPr>
        <w:t xml:space="preserve">Revenue operations at scale: Overcome native HubSpot/Salesforce limitations; automate campaign creation and territory management.</w:t>
      </w:r>
    </w:p>
    <w:p>
      <w:pPr>
        <w:pStyle w:val="ListParagraph"/>
        <w:numPr>
          <w:ilvl w:val="0"/>
          <w:numId w:val="2"/>
        </w:numPr>
        <w:spacing w:before="40" w:after="40"/>
      </w:pPr>
      <w:r>
        <w:rPr>
          <w:rFonts w:ascii="Arial" w:cs="Arial" w:eastAsia="Arial" w:hAnsi="Arial"/>
          <w:b w:val="false"/>
          <w:bCs w:val="false"/>
          <w:sz w:val="22"/>
          <w:szCs w:val="22"/>
        </w:rPr>
        <w:t xml:space="preserve">Embedded payments &amp; partner integrations: API platform integrations for merchant partnerships and embedded finance products.</w:t>
      </w:r>
    </w:p>
    <w:p>
      <w:pPr>
        <w:pStyle w:val="ListParagraph"/>
        <w:numPr>
          <w:ilvl w:val="0"/>
          <w:numId w:val="2"/>
        </w:numPr>
        <w:spacing w:before="40" w:after="40"/>
      </w:pPr>
      <w:r>
        <w:rPr>
          <w:rFonts w:ascii="Arial" w:cs="Arial" w:eastAsia="Arial" w:hAnsi="Arial"/>
          <w:b w:val="false"/>
          <w:bCs w:val="false"/>
          <w:sz w:val="22"/>
          <w:szCs w:val="22"/>
        </w:rPr>
        <w:t xml:space="preserve">Auto-scaling infrastructure: Rapid growth demands a platform that scales without forecasting (unlike Mulesoft/Boomi).</w:t>
      </w:r>
    </w:p>
    <w:p>
      <w:pPr>
        <w:pStyle w:val="ListParagraph"/>
        <w:numPr>
          <w:ilvl w:val="0"/>
          <w:numId w:val="2"/>
        </w:numPr>
        <w:spacing w:before="40" w:after="40"/>
      </w:pPr>
      <w:r>
        <w:rPr>
          <w:rFonts w:ascii="Arial" w:cs="Arial" w:eastAsia="Arial" w:hAnsi="Arial"/>
          <w:b w:val="false"/>
          <w:bCs w:val="false"/>
          <w:sz w:val="22"/>
          <w:szCs w:val="22"/>
        </w:rPr>
        <w:t xml:space="preserve">KYC/AML compliance automation: Regulatory requirements at the speed of digital-first growth.</w:t>
      </w:r>
    </w:p>
    <w:p>
      <w:pPr>
        <w:pStyle w:val="ListParagraph"/>
        <w:numPr>
          <w:ilvl w:val="0"/>
          <w:numId w:val="2"/>
        </w:numPr>
        <w:spacing w:before="40" w:after="40"/>
      </w:pPr>
      <w:r>
        <w:rPr>
          <w:rFonts w:ascii="Arial" w:cs="Arial" w:eastAsia="Arial" w:hAnsi="Arial"/>
          <w:b w:val="false"/>
          <w:bCs w:val="false"/>
          <w:sz w:val="22"/>
          <w:szCs w:val="22"/>
        </w:rPr>
        <w:t xml:space="preserve">AI-first product development: Early adopters of agentic AI genies (FinOps Q&amp;A, SEC filing, reconciliation).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7A" w:sz="1"/>
              <w:left w:val="single" w:color="007A7A" w:sz="1"/>
              <w:bottom w:val="single" w:color="007A7A" w:sz="1"/>
              <w:right w:val="single" w:color="007A7A" w:sz="1"/>
            </w:tcBorders>
            <w:shd w:fill="007A7A" w:val="clear"/>
            <w:tcMar>
              <w:top w:type="dxa" w:w="100"/>
              <w:left w:type="dxa" w:w="200"/>
              <w:bottom w:type="dxa" w:w="100"/>
              <w:right w:type="dxa" w:w="200"/>
            </w:tcMar>
          </w:tcPr>
          <w:p>
            <w:r>
              <w:rPr>
                <w:rFonts w:ascii="Arial" w:cs="Arial" w:eastAsia="Arial" w:hAnsi="Arial"/>
                <w:b/>
                <w:bCs/>
                <w:color w:val="FFFFFF"/>
                <w:sz w:val="26"/>
                <w:szCs w:val="26"/>
              </w:rPr>
              <w:t xml:space="preserve">Sub-Vertical: Wealth &amp; Asset Management</w:t>
            </w:r>
          </w:p>
        </w:tc>
      </w:tr>
    </w:tbl>
    <w:p>
      <w:pPr>
        <w:spacing w:before="0" w:after="80"/>
      </w:pPr>
    </w:p>
    <w:p>
      <w:pPr>
        <w:pStyle w:val="Heading3"/>
        <w:spacing w:before="200" w:after="80"/>
      </w:pPr>
      <w:r>
        <w:rPr>
          <w:rFonts w:ascii="Arial" w:cs="Arial" w:eastAsia="Arial" w:hAnsi="Arial"/>
          <w:b/>
          <w:bCs/>
          <w:color w:val="1F2937"/>
          <w:sz w:val="24"/>
          <w:szCs w:val="24"/>
        </w:rPr>
        <w:t xml:space="preserve">Overview &amp; Scope</w:t>
      </w:r>
    </w:p>
    <w:p>
      <w:pPr>
        <w:spacing w:before="60" w:after="60"/>
      </w:pPr>
      <w:r>
        <w:rPr>
          <w:rFonts w:ascii="Arial" w:cs="Arial" w:eastAsia="Arial" w:hAnsi="Arial"/>
          <w:b w:val="false"/>
          <w:bCs w:val="false"/>
          <w:color w:val="1F2937"/>
          <w:sz w:val="22"/>
          <w:szCs w:val="22"/>
        </w:rPr>
        <w:t xml:space="preserve">Wealth and Asset Management is Workato's second-largest FinServ segment (18 customers, 20.1% of ARR, $2.66M). This segment includes independent asset managers, wealth advisory firms, private equity/credit firms, and multi-family offices. Key customers include Fidelity, Brookfield Asset Management, Man Group, Edelman Financial, and Avenir Global. The common thread is complex portfolio management across custodians, heavy regulatory reporting, and a need to synthesize vast data for investment analysis.</w:t>
      </w:r>
    </w:p>
    <w:p>
      <w:pPr>
        <w:spacing w:before="0" w:after="120"/>
      </w:pPr>
    </w:p>
    <w:p>
      <w:pPr>
        <w:pStyle w:val="Heading3"/>
        <w:spacing w:before="200" w:after="80"/>
      </w:pPr>
      <w:r>
        <w:rPr>
          <w:rFonts w:ascii="Arial" w:cs="Arial" w:eastAsia="Arial" w:hAnsi="Arial"/>
          <w:b/>
          <w:bCs/>
          <w:color w:val="1F2937"/>
          <w:sz w:val="24"/>
          <w:szCs w:val="24"/>
        </w:rPr>
        <w:t xml:space="preserve">Key Business Drivers</w:t>
      </w:r>
    </w:p>
    <w:p>
      <w:pPr>
        <w:pStyle w:val="ListParagraph"/>
        <w:numPr>
          <w:ilvl w:val="0"/>
          <w:numId w:val="2"/>
        </w:numPr>
        <w:spacing w:before="40" w:after="40"/>
      </w:pPr>
      <w:r>
        <w:rPr>
          <w:rFonts w:ascii="Arial" w:cs="Arial" w:eastAsia="Arial" w:hAnsi="Arial"/>
          <w:b w:val="false"/>
          <w:bCs w:val="false"/>
          <w:sz w:val="22"/>
          <w:szCs w:val="22"/>
        </w:rPr>
        <w:t xml:space="preserve">Investment analysis &amp; research productivity: AI-powered synthesis of complex reports, earnings calls, regulatory filings.</w:t>
      </w:r>
    </w:p>
    <w:p>
      <w:pPr>
        <w:pStyle w:val="ListParagraph"/>
        <w:numPr>
          <w:ilvl w:val="0"/>
          <w:numId w:val="2"/>
        </w:numPr>
        <w:spacing w:before="40" w:after="40"/>
      </w:pPr>
      <w:r>
        <w:rPr>
          <w:rFonts w:ascii="Arial" w:cs="Arial" w:eastAsia="Arial" w:hAnsi="Arial"/>
          <w:b w:val="false"/>
          <w:bCs w:val="false"/>
          <w:sz w:val="22"/>
          <w:szCs w:val="22"/>
        </w:rPr>
        <w:t xml:space="preserve">Real-time portfolio operations: Position reconciliation across multiple custodians, fund admins, and prime brokers.</w:t>
      </w:r>
    </w:p>
    <w:p>
      <w:pPr>
        <w:pStyle w:val="ListParagraph"/>
        <w:numPr>
          <w:ilvl w:val="0"/>
          <w:numId w:val="2"/>
        </w:numPr>
        <w:spacing w:before="40" w:after="40"/>
      </w:pPr>
      <w:r>
        <w:rPr>
          <w:rFonts w:ascii="Arial" w:cs="Arial" w:eastAsia="Arial" w:hAnsi="Arial"/>
          <w:b w:val="false"/>
          <w:bCs w:val="false"/>
          <w:sz w:val="22"/>
          <w:szCs w:val="22"/>
        </w:rPr>
        <w:t xml:space="preserve">Client onboarding &amp; KYC: Streamlining complex documentation, compliance checks, and CRM-to-portfolio-system sync.</w:t>
      </w:r>
    </w:p>
    <w:p>
      <w:pPr>
        <w:pStyle w:val="ListParagraph"/>
        <w:numPr>
          <w:ilvl w:val="0"/>
          <w:numId w:val="2"/>
        </w:numPr>
        <w:spacing w:before="40" w:after="40"/>
      </w:pPr>
      <w:r>
        <w:rPr>
          <w:rFonts w:ascii="Arial" w:cs="Arial" w:eastAsia="Arial" w:hAnsi="Arial"/>
          <w:b w:val="false"/>
          <w:bCs w:val="false"/>
          <w:sz w:val="22"/>
          <w:szCs w:val="22"/>
        </w:rPr>
        <w:t xml:space="preserve">Regulatory reporting: Automating SEC filings, Form ADV, NAV calculations, compliance monitoring.</w:t>
      </w:r>
    </w:p>
    <w:p>
      <w:pPr>
        <w:pStyle w:val="ListParagraph"/>
        <w:numPr>
          <w:ilvl w:val="0"/>
          <w:numId w:val="2"/>
        </w:numPr>
        <w:spacing w:before="40" w:after="40"/>
      </w:pPr>
      <w:r>
        <w:rPr>
          <w:rFonts w:ascii="Arial" w:cs="Arial" w:eastAsia="Arial" w:hAnsi="Arial"/>
          <w:b w:val="false"/>
          <w:bCs w:val="false"/>
          <w:sz w:val="22"/>
          <w:szCs w:val="22"/>
        </w:rPr>
        <w:t xml:space="preserve">JML lifecycle management: Automating Joiner-Mover-Leaver workflows across Workday and enterprise systems.</w:t>
      </w:r>
    </w:p>
    <w:p>
      <w:pPr>
        <w:pStyle w:val="ListParagraph"/>
        <w:numPr>
          <w:ilvl w:val="0"/>
          <w:numId w:val="2"/>
        </w:numPr>
        <w:spacing w:before="40" w:after="40"/>
      </w:pPr>
      <w:r>
        <w:rPr>
          <w:rFonts w:ascii="Arial" w:cs="Arial" w:eastAsia="Arial" w:hAnsi="Arial"/>
          <w:b w:val="false"/>
          <w:bCs w:val="false"/>
          <w:sz w:val="22"/>
          <w:szCs w:val="22"/>
        </w:rPr>
        <w:t xml:space="preserve">Marketing &amp; growth: Salesforce optimization and marketing automation for AUM growth and client acquisition.</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2: Current Industry Trends</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2A. Macro-Economic &amp; Market Trends</w:t>
      </w:r>
    </w:p>
    <w:p>
      <w:pPr>
        <w:pStyle w:val="ListParagraph"/>
        <w:numPr>
          <w:ilvl w:val="0"/>
          <w:numId w:val="2"/>
        </w:numPr>
        <w:spacing w:before="40" w:after="40"/>
      </w:pPr>
      <w:r>
        <w:rPr>
          <w:rFonts w:ascii="Arial" w:cs="Arial" w:eastAsia="Arial" w:hAnsi="Arial"/>
          <w:b w:val="false"/>
          <w:bCs w:val="false"/>
          <w:sz w:val="22"/>
          <w:szCs w:val="22"/>
        </w:rPr>
        <w:t xml:space="preserve">Interest rate normalization is shifting banks' focus from margin management back to operational efficiency and new revenue streams.</w:t>
      </w:r>
    </w:p>
    <w:p>
      <w:pPr>
        <w:pStyle w:val="ListParagraph"/>
        <w:numPr>
          <w:ilvl w:val="0"/>
          <w:numId w:val="2"/>
        </w:numPr>
        <w:spacing w:before="40" w:after="40"/>
      </w:pPr>
      <w:r>
        <w:rPr>
          <w:rFonts w:ascii="Arial" w:cs="Arial" w:eastAsia="Arial" w:hAnsi="Arial"/>
          <w:b w:val="false"/>
          <w:bCs w:val="false"/>
          <w:sz w:val="22"/>
          <w:szCs w:val="22"/>
        </w:rPr>
        <w:t xml:space="preserve">Consolidation pressure: Community banks and credit unions are merging and acquiring, creating integration complexity Workato is uniquely positioned to solve.</w:t>
      </w:r>
    </w:p>
    <w:p>
      <w:pPr>
        <w:pStyle w:val="ListParagraph"/>
        <w:numPr>
          <w:ilvl w:val="0"/>
          <w:numId w:val="2"/>
        </w:numPr>
        <w:spacing w:before="40" w:after="40"/>
      </w:pPr>
      <w:r>
        <w:rPr>
          <w:rFonts w:ascii="Arial" w:cs="Arial" w:eastAsia="Arial" w:hAnsi="Arial"/>
          <w:b w:val="false"/>
          <w:bCs w:val="false"/>
          <w:sz w:val="22"/>
          <w:szCs w:val="22"/>
        </w:rPr>
        <w:t xml:space="preserve">Open banking / Open finance: Regulatory mandates (PSD2 in EU, FDX in US) require FIs to expose APIs and connect to third-party data providers.</w:t>
      </w:r>
    </w:p>
    <w:p>
      <w:pPr>
        <w:pStyle w:val="ListParagraph"/>
        <w:numPr>
          <w:ilvl w:val="0"/>
          <w:numId w:val="2"/>
        </w:numPr>
        <w:spacing w:before="40" w:after="40"/>
      </w:pPr>
      <w:r>
        <w:rPr>
          <w:rFonts w:ascii="Arial" w:cs="Arial" w:eastAsia="Arial" w:hAnsi="Arial"/>
          <w:b w:val="false"/>
          <w:bCs w:val="false"/>
          <w:sz w:val="22"/>
          <w:szCs w:val="22"/>
        </w:rPr>
        <w:t xml:space="preserve">Banking-as-a-Service (BaaS) expansion: Traditional FIs licensing their infrastructure to fintechs, requiring robust API orchestration.</w:t>
      </w:r>
    </w:p>
    <w:p>
      <w:pPr>
        <w:spacing w:before="0" w:after="120"/>
      </w:pPr>
    </w:p>
    <w:p>
      <w:pPr>
        <w:pStyle w:val="Heading2"/>
        <w:spacing w:before="300" w:after="100"/>
      </w:pPr>
      <w:r>
        <w:rPr>
          <w:rFonts w:ascii="Arial" w:cs="Arial" w:eastAsia="Arial" w:hAnsi="Arial"/>
          <w:b/>
          <w:bCs/>
          <w:color w:val="007A7A"/>
          <w:sz w:val="28"/>
          <w:szCs w:val="28"/>
        </w:rPr>
        <w:t xml:space="preserve">2B. Technology Adoption Trends</w:t>
      </w:r>
    </w:p>
    <w:p>
      <w:pPr>
        <w:pStyle w:val="ListParagraph"/>
        <w:numPr>
          <w:ilvl w:val="0"/>
          <w:numId w:val="2"/>
        </w:numPr>
        <w:spacing w:before="40" w:after="40"/>
      </w:pPr>
      <w:r>
        <w:rPr>
          <w:rFonts w:ascii="Arial" w:cs="Arial" w:eastAsia="Arial" w:hAnsi="Arial"/>
          <w:b w:val="false"/>
          <w:bCs w:val="false"/>
          <w:sz w:val="22"/>
          <w:szCs w:val="22"/>
        </w:rPr>
        <w:t xml:space="preserve">Core modernization: Migration from on-prem banking cores to hybrid and cloud environments remains a multi-year initiative across banking.</w:t>
      </w:r>
    </w:p>
    <w:p>
      <w:pPr>
        <w:pStyle w:val="ListParagraph"/>
        <w:numPr>
          <w:ilvl w:val="0"/>
          <w:numId w:val="2"/>
        </w:numPr>
        <w:spacing w:before="40" w:after="40"/>
      </w:pPr>
      <w:r>
        <w:rPr>
          <w:rFonts w:ascii="Arial" w:cs="Arial" w:eastAsia="Arial" w:hAnsi="Arial"/>
          <w:b w:val="false"/>
          <w:bCs w:val="false"/>
          <w:sz w:val="22"/>
          <w:szCs w:val="22"/>
        </w:rPr>
        <w:t xml:space="preserve">Cloud data warehouse adoption: Snowflake, Databricks emerging as central analytics hubs — requiring ETL/ELT automation.</w:t>
      </w:r>
    </w:p>
    <w:p>
      <w:pPr>
        <w:pStyle w:val="ListParagraph"/>
        <w:numPr>
          <w:ilvl w:val="0"/>
          <w:numId w:val="2"/>
        </w:numPr>
        <w:spacing w:before="40" w:after="40"/>
      </w:pPr>
      <w:r>
        <w:rPr>
          <w:rFonts w:ascii="Arial" w:cs="Arial" w:eastAsia="Arial" w:hAnsi="Arial"/>
          <w:b w:val="false"/>
          <w:bCs w:val="false"/>
          <w:sz w:val="22"/>
          <w:szCs w:val="22"/>
        </w:rPr>
        <w:t xml:space="preserve">AI in financial services: 10% of FIs currently use AI agents at scale (Capgemini); 29% of all AI value will be created by agents by 2028 (BCG).</w:t>
      </w:r>
    </w:p>
    <w:p>
      <w:pPr>
        <w:pStyle w:val="ListParagraph"/>
        <w:numPr>
          <w:ilvl w:val="0"/>
          <w:numId w:val="2"/>
        </w:numPr>
        <w:spacing w:before="40" w:after="40"/>
      </w:pPr>
      <w:r>
        <w:rPr>
          <w:rFonts w:ascii="Arial" w:cs="Arial" w:eastAsia="Arial" w:hAnsi="Arial"/>
          <w:b w:val="false"/>
          <w:bCs w:val="false"/>
          <w:sz w:val="22"/>
          <w:szCs w:val="22"/>
        </w:rPr>
        <w:t xml:space="preserve">Legacy systems as AI blockers: 68% of CTOs cite legacy systems as the single biggest obstacle to AI adoption (EY Financial Services).</w:t>
      </w:r>
    </w:p>
    <w:p>
      <w:pPr>
        <w:spacing w:before="40" w:after="40"/>
      </w:pPr>
      <w:r>
        <w:rPr>
          <w:rFonts w:ascii="Arial" w:cs="Arial" w:eastAsia="Arial" w:hAnsi="Arial"/>
          <w:color w:val="4B5563"/>
          <w:sz w:val="20"/>
          <w:szCs w:val="20"/>
        </w:rPr>
        <w:t xml:space="preserve">PMM Note — Analyst Data: Supplement with current Gartner Magic Quadrant (iPaaS), Forrester Wave data, IDC FinancialInsights reports. The Capgemini, BCG, and EY stats are approved for external use per the FinServ Page content deck.</w:t>
      </w:r>
    </w:p>
    <w:p>
      <w:pPr>
        <w:spacing w:before="0" w:after="120"/>
      </w:pPr>
    </w:p>
    <w:p>
      <w:pPr>
        <w:pStyle w:val="Heading2"/>
        <w:spacing w:before="300" w:after="100"/>
      </w:pPr>
      <w:r>
        <w:rPr>
          <w:rFonts w:ascii="Arial" w:cs="Arial" w:eastAsia="Arial" w:hAnsi="Arial"/>
          <w:b/>
          <w:bCs/>
          <w:color w:val="007A7A"/>
          <w:sz w:val="28"/>
          <w:szCs w:val="28"/>
        </w:rPr>
        <w:t xml:space="preserve">2C. Customer / Consumer Behavior Shifts</w:t>
      </w:r>
    </w:p>
    <w:p>
      <w:pPr>
        <w:pStyle w:val="ListParagraph"/>
        <w:numPr>
          <w:ilvl w:val="0"/>
          <w:numId w:val="2"/>
        </w:numPr>
        <w:spacing w:before="40" w:after="40"/>
      </w:pPr>
      <w:r>
        <w:rPr>
          <w:rFonts w:ascii="Arial" w:cs="Arial" w:eastAsia="Arial" w:hAnsi="Arial"/>
          <w:b w:val="false"/>
          <w:bCs w:val="false"/>
          <w:sz w:val="22"/>
          <w:szCs w:val="22"/>
        </w:rPr>
        <w:t xml:space="preserve">Gen-Z and millennial customers prioritize digital-first, mobile-friendly financial experiences over branch relationships.</w:t>
      </w:r>
    </w:p>
    <w:p>
      <w:pPr>
        <w:pStyle w:val="ListParagraph"/>
        <w:numPr>
          <w:ilvl w:val="0"/>
          <w:numId w:val="2"/>
        </w:numPr>
        <w:spacing w:before="40" w:after="40"/>
      </w:pPr>
      <w:r>
        <w:rPr>
          <w:rFonts w:ascii="Arial" w:cs="Arial" w:eastAsia="Arial" w:hAnsi="Arial"/>
          <w:b w:val="false"/>
          <w:bCs w:val="false"/>
          <w:sz w:val="22"/>
          <w:szCs w:val="22"/>
        </w:rPr>
        <w:t xml:space="preserve">60% of loan applicants abandon if the process takes more than 5 minutes — creating urgency for automated origination.</w:t>
      </w:r>
    </w:p>
    <w:p>
      <w:pPr>
        <w:pStyle w:val="ListParagraph"/>
        <w:numPr>
          <w:ilvl w:val="0"/>
          <w:numId w:val="2"/>
        </w:numPr>
        <w:spacing w:before="40" w:after="40"/>
      </w:pPr>
      <w:r>
        <w:rPr>
          <w:rFonts w:ascii="Arial" w:cs="Arial" w:eastAsia="Arial" w:hAnsi="Arial"/>
          <w:b w:val="false"/>
          <w:bCs w:val="false"/>
          <w:sz w:val="22"/>
          <w:szCs w:val="22"/>
        </w:rPr>
        <w:t xml:space="preserve">Customers expect 24/7 AI-powered support; traditional contact center models are being disrupted by agentic support genies.</w:t>
      </w:r>
    </w:p>
    <w:p>
      <w:pPr>
        <w:pStyle w:val="ListParagraph"/>
        <w:numPr>
          <w:ilvl w:val="0"/>
          <w:numId w:val="2"/>
        </w:numPr>
        <w:spacing w:before="40" w:after="40"/>
      </w:pPr>
      <w:r>
        <w:rPr>
          <w:rFonts w:ascii="Arial" w:cs="Arial" w:eastAsia="Arial" w:hAnsi="Arial"/>
          <w:b w:val="false"/>
          <w:bCs w:val="false"/>
          <w:sz w:val="22"/>
          <w:szCs w:val="22"/>
        </w:rPr>
        <w:t xml:space="preserve">Demand for real-time financial data visibility: Instant balance updates, transaction notifications, and portfolio performance.</w:t>
      </w:r>
    </w:p>
    <w:p>
      <w:pPr>
        <w:spacing w:before="0" w:after="120"/>
      </w:pPr>
    </w:p>
    <w:p>
      <w:pPr>
        <w:pStyle w:val="Heading2"/>
        <w:spacing w:before="300" w:after="100"/>
      </w:pPr>
      <w:r>
        <w:rPr>
          <w:rFonts w:ascii="Arial" w:cs="Arial" w:eastAsia="Arial" w:hAnsi="Arial"/>
          <w:b/>
          <w:bCs/>
          <w:color w:val="007A7A"/>
          <w:sz w:val="28"/>
          <w:szCs w:val="28"/>
        </w:rPr>
        <w:t xml:space="preserve">2D. Workforce &amp; Operational Trends</w:t>
      </w:r>
    </w:p>
    <w:p>
      <w:pPr>
        <w:pStyle w:val="ListParagraph"/>
        <w:numPr>
          <w:ilvl w:val="0"/>
          <w:numId w:val="2"/>
        </w:numPr>
        <w:spacing w:before="40" w:after="40"/>
      </w:pPr>
      <w:r>
        <w:rPr>
          <w:rFonts w:ascii="Arial" w:cs="Arial" w:eastAsia="Arial" w:hAnsi="Arial"/>
          <w:b w:val="false"/>
          <w:bCs w:val="false"/>
          <w:sz w:val="22"/>
          <w:szCs w:val="22"/>
        </w:rPr>
        <w:t xml:space="preserve">Talent shortage in integration/automation development — driving demand for low-code/citizen builder platforms.</w:t>
      </w:r>
    </w:p>
    <w:p>
      <w:pPr>
        <w:pStyle w:val="ListParagraph"/>
        <w:numPr>
          <w:ilvl w:val="0"/>
          <w:numId w:val="2"/>
        </w:numPr>
        <w:spacing w:before="40" w:after="40"/>
      </w:pPr>
      <w:r>
        <w:rPr>
          <w:rFonts w:ascii="Arial" w:cs="Arial" w:eastAsia="Arial" w:hAnsi="Arial"/>
          <w:b w:val="false"/>
          <w:bCs w:val="false"/>
          <w:sz w:val="22"/>
          <w:szCs w:val="22"/>
        </w:rPr>
        <w:t xml:space="preserve">Cost pressure is increasing focus on IT consolidation: reducing point-to-point integrations, eliminating legacy middleware, and rationalizing SaaS licenses.</w:t>
      </w:r>
    </w:p>
    <w:p>
      <w:pPr>
        <w:pStyle w:val="ListParagraph"/>
        <w:numPr>
          <w:ilvl w:val="0"/>
          <w:numId w:val="2"/>
        </w:numPr>
        <w:spacing w:before="40" w:after="40"/>
      </w:pPr>
      <w:r>
        <w:rPr>
          <w:rFonts w:ascii="Arial" w:cs="Arial" w:eastAsia="Arial" w:hAnsi="Arial"/>
          <w:b w:val="false"/>
          <w:bCs w:val="false"/>
          <w:sz w:val="22"/>
          <w:szCs w:val="22"/>
        </w:rPr>
        <w:t xml:space="preserve">Finance, HR, and IT back-office automation is a top priority to free skilled employees for higher-value work.</w:t>
      </w:r>
    </w:p>
    <w:p>
      <w:pPr>
        <w:spacing w:before="0" w:after="120"/>
      </w:pPr>
    </w:p>
    <w:p>
      <w:pPr>
        <w:pStyle w:val="Heading2"/>
        <w:spacing w:before="300" w:after="100"/>
      </w:pPr>
      <w:r>
        <w:rPr>
          <w:rFonts w:ascii="Arial" w:cs="Arial" w:eastAsia="Arial" w:hAnsi="Arial"/>
          <w:b/>
          <w:bCs/>
          <w:color w:val="007A7A"/>
          <w:sz w:val="28"/>
          <w:szCs w:val="28"/>
        </w:rPr>
        <w:t xml:space="preserve">2E. Data &amp; Analytics Trends</w:t>
      </w:r>
    </w:p>
    <w:p>
      <w:pPr>
        <w:pStyle w:val="ListParagraph"/>
        <w:numPr>
          <w:ilvl w:val="0"/>
          <w:numId w:val="2"/>
        </w:numPr>
        <w:spacing w:before="40" w:after="40"/>
      </w:pPr>
      <w:r>
        <w:rPr>
          <w:rFonts w:ascii="Arial" w:cs="Arial" w:eastAsia="Arial" w:hAnsi="Arial"/>
          <w:b w:val="false"/>
          <w:bCs w:val="false"/>
          <w:sz w:val="22"/>
          <w:szCs w:val="22"/>
        </w:rPr>
        <w:t xml:space="preserve">Real-time data synchronization across trading systems, CRMs, and core banking is foundational to both customer experience and regulatory compliance.</w:t>
      </w:r>
    </w:p>
    <w:p>
      <w:pPr>
        <w:pStyle w:val="ListParagraph"/>
        <w:numPr>
          <w:ilvl w:val="0"/>
          <w:numId w:val="2"/>
        </w:numPr>
        <w:spacing w:before="40" w:after="40"/>
      </w:pPr>
      <w:r>
        <w:rPr>
          <w:rFonts w:ascii="Arial" w:cs="Arial" w:eastAsia="Arial" w:hAnsi="Arial"/>
          <w:b w:val="false"/>
          <w:bCs w:val="false"/>
          <w:sz w:val="22"/>
          <w:szCs w:val="22"/>
        </w:rPr>
        <w:t xml:space="preserve">AI/ML model data ingestion: FIs building ML models for credit scoring, fraud detection, and customer personalization require robust, clean data pipelines.</w:t>
      </w:r>
    </w:p>
    <w:p>
      <w:pPr>
        <w:pStyle w:val="ListParagraph"/>
        <w:numPr>
          <w:ilvl w:val="0"/>
          <w:numId w:val="2"/>
        </w:numPr>
        <w:spacing w:before="40" w:after="40"/>
      </w:pPr>
      <w:r>
        <w:rPr>
          <w:rFonts w:ascii="Arial" w:cs="Arial" w:eastAsia="Arial" w:hAnsi="Arial"/>
          <w:b w:val="false"/>
          <w:bCs w:val="false"/>
          <w:sz w:val="22"/>
          <w:szCs w:val="22"/>
        </w:rPr>
        <w:t xml:space="preserve">Market data aggregation and enrichment from Bloomberg, Refinitiv, and alternative data sources is a growing use case in capital markets and wealth management.</w:t>
      </w:r>
    </w:p>
    <w:p>
      <w:pPr>
        <w:spacing w:before="0" w:after="120"/>
      </w:pPr>
    </w:p>
    <w:p>
      <w:pPr>
        <w:pStyle w:val="Heading2"/>
        <w:spacing w:before="300" w:after="100"/>
      </w:pPr>
      <w:r>
        <w:rPr>
          <w:rFonts w:ascii="Arial" w:cs="Arial" w:eastAsia="Arial" w:hAnsi="Arial"/>
          <w:b/>
          <w:bCs/>
          <w:color w:val="007A7A"/>
          <w:sz w:val="28"/>
          <w:szCs w:val="28"/>
        </w:rPr>
        <w:t xml:space="preserve">2F. Industry-Specific Analyst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Key Analyst Stats for External Use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29% of all AI value will be created by agents by 2028 (BCG)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68% of CTOs say legacy systems are the biggest obstacle to AI adoption (EY Financial Services)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10% of financial institutions are using AI agents at scale (Capgemini)</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Only 6% of organizations fully trust agentic AI with core processes (Gartner — verify currency)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Only 12% of organizations have governance controls to support agentic AI (Gartner — verify currency)</w:t>
            </w:r>
          </w:p>
        </w:tc>
      </w:tr>
    </w:tbl>
    <w:p>
      <w:pPr>
        <w:spacing w:before="40" w:after="40"/>
      </w:pPr>
      <w:r>
        <w:rPr>
          <w:rFonts w:ascii="Arial" w:cs="Arial" w:eastAsia="Arial" w:hAnsi="Arial"/>
          <w:color w:val="4B5563"/>
          <w:sz w:val="20"/>
          <w:szCs w:val="20"/>
        </w:rPr>
        <w:t xml:space="preserve">PMM Note: Always verify analyst statistics with source year and methodology before external use. Gartner stats require licensing verification.</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3: Current AI/Automation/Orchestration Landscape</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3A. Current State of Automation Adoption</w:t>
      </w:r>
    </w:p>
    <w:p>
      <w:pPr>
        <w:spacing w:before="60" w:after="60"/>
      </w:pPr>
      <w:r>
        <w:rPr>
          <w:rFonts w:ascii="Arial" w:cs="Arial" w:eastAsia="Arial" w:hAnsi="Arial"/>
          <w:b w:val="false"/>
          <w:bCs w:val="false"/>
          <w:color w:val="1F2937"/>
          <w:sz w:val="22"/>
          <w:szCs w:val="22"/>
        </w:rPr>
        <w:t xml:space="preserve">Financial services institutions are at varying stages of automation maturity. Most large FIs have invested in first-generation RPA (UiPath, Automation Anywhere) for discrete task automation, but these tools create fragile, siloed automations that do not scale to enterprise-wide orchestration. The next frontier is AI-powered, orchestrated automation that crosses system boundaries, handles exceptions intelligently, and enables autonomous agents to execute multi-step financial workflows.</w:t>
      </w:r>
    </w:p>
    <w:p>
      <w:pPr>
        <w:spacing w:before="0" w:after="120"/>
      </w:pPr>
    </w:p>
    <w:p>
      <w:pPr>
        <w:pStyle w:val="Heading2"/>
        <w:spacing w:before="300" w:after="100"/>
      </w:pPr>
      <w:r>
        <w:rPr>
          <w:rFonts w:ascii="Arial" w:cs="Arial" w:eastAsia="Arial" w:hAnsi="Arial"/>
          <w:b/>
          <w:bCs/>
          <w:color w:val="007A7A"/>
          <w:sz w:val="28"/>
          <w:szCs w:val="28"/>
        </w:rPr>
        <w:t xml:space="preserve">3B. Existing AI Use Cases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Use Case</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Status / Maturity in FinServ</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Fraud detection &amp; transaction monitoring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Mature — widely deployed, but siloed from workflow automation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Credit scoring / underwriting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Mature ML models, but manual workflow handoffs remain</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KYC/AML document review</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Emerging — AI-assisted, not yet fully agentic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Customer support chatbots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Widespread, but shallow — not orchestrated to backend systems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Document processing (IDP)</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Growing — used for loan docs, claims, invoices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Investment research synthesis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Early adopter stage — Genies and LLM wrappers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Agentic AI (multi-step autonomous workflows)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Nascent — only 10% at scale</w:t>
            </w:r>
          </w:p>
        </w:tc>
      </w:tr>
    </w:tbl>
    <w:p>
      <w:pPr>
        <w:spacing w:before="0" w:after="120"/>
      </w:pPr>
    </w:p>
    <w:p>
      <w:pPr>
        <w:pStyle w:val="Heading2"/>
        <w:spacing w:before="300" w:after="100"/>
      </w:pPr>
      <w:r>
        <w:rPr>
          <w:rFonts w:ascii="Arial" w:cs="Arial" w:eastAsia="Arial" w:hAnsi="Arial"/>
          <w:b/>
          <w:bCs/>
          <w:color w:val="007A7A"/>
          <w:sz w:val="28"/>
          <w:szCs w:val="28"/>
        </w:rPr>
        <w:t xml:space="preserve">3C. Integration &amp; Orchestration Maturity</w:t>
      </w:r>
    </w:p>
    <w:p>
      <w:pPr>
        <w:pStyle w:val="ListParagraph"/>
        <w:numPr>
          <w:ilvl w:val="0"/>
          <w:numId w:val="2"/>
        </w:numPr>
        <w:spacing w:before="40" w:after="40"/>
      </w:pPr>
      <w:r>
        <w:rPr>
          <w:rFonts w:ascii="Arial" w:cs="Arial" w:eastAsia="Arial" w:hAnsi="Arial"/>
          <w:b w:val="false"/>
          <w:bCs w:val="false"/>
          <w:sz w:val="22"/>
          <w:szCs w:val="22"/>
        </w:rPr>
        <w:t xml:space="preserve">Most FIs operate 15+ disconnected enterprise systems with point-to-point integrations built over decades.</w:t>
      </w:r>
    </w:p>
    <w:p>
      <w:pPr>
        <w:pStyle w:val="ListParagraph"/>
        <w:numPr>
          <w:ilvl w:val="0"/>
          <w:numId w:val="2"/>
        </w:numPr>
        <w:spacing w:before="40" w:after="40"/>
      </w:pPr>
      <w:r>
        <w:rPr>
          <w:rFonts w:ascii="Arial" w:cs="Arial" w:eastAsia="Arial" w:hAnsi="Arial"/>
          <w:b w:val="false"/>
          <w:bCs w:val="false"/>
          <w:sz w:val="22"/>
          <w:szCs w:val="22"/>
        </w:rPr>
        <w:t xml:space="preserve">Core banking systems (Jack Henry, Fiserv, FIS) are connected to CRMs, ERPs, and analytics platforms through brittle custom code.</w:t>
      </w:r>
    </w:p>
    <w:p>
      <w:pPr>
        <w:pStyle w:val="ListParagraph"/>
        <w:numPr>
          <w:ilvl w:val="0"/>
          <w:numId w:val="2"/>
        </w:numPr>
        <w:spacing w:before="40" w:after="40"/>
      </w:pPr>
      <w:r>
        <w:rPr>
          <w:rFonts w:ascii="Arial" w:cs="Arial" w:eastAsia="Arial" w:hAnsi="Arial"/>
          <w:b w:val="false"/>
          <w:bCs w:val="false"/>
          <w:sz w:val="22"/>
          <w:szCs w:val="22"/>
        </w:rPr>
        <w:t xml:space="preserve">Data silos prevent AI models from accessing real-time, clean, cross-system data — the #1 blocker to scaling AI.</w:t>
      </w:r>
    </w:p>
    <w:p>
      <w:pPr>
        <w:pStyle w:val="ListParagraph"/>
        <w:numPr>
          <w:ilvl w:val="0"/>
          <w:numId w:val="2"/>
        </w:numPr>
        <w:spacing w:before="40" w:after="40"/>
      </w:pPr>
      <w:r>
        <w:rPr>
          <w:rFonts w:ascii="Arial" w:cs="Arial" w:eastAsia="Arial" w:hAnsi="Arial"/>
          <w:b w:val="false"/>
          <w:bCs w:val="false"/>
          <w:sz w:val="22"/>
          <w:szCs w:val="22"/>
        </w:rPr>
        <w:t xml:space="preserve">Workato's Federated Model (IT + business teams building recipes) allows FIs to scale automation without a centralized integration bottleneck.</w:t>
      </w:r>
    </w:p>
    <w:p>
      <w:pPr>
        <w:spacing w:before="0" w:after="120"/>
      </w:pPr>
    </w:p>
    <w:p>
      <w:pPr>
        <w:pStyle w:val="Heading2"/>
        <w:spacing w:before="300" w:after="100"/>
      </w:pPr>
      <w:r>
        <w:rPr>
          <w:rFonts w:ascii="Arial" w:cs="Arial" w:eastAsia="Arial" w:hAnsi="Arial"/>
          <w:b/>
          <w:bCs/>
          <w:color w:val="007A7A"/>
          <w:sz w:val="28"/>
          <w:szCs w:val="28"/>
        </w:rPr>
        <w:t xml:space="preserve">3D. Enterprise MCP Readiness</w:t>
      </w:r>
    </w:p>
    <w:p>
      <w:pPr>
        <w:spacing w:before="60" w:after="60"/>
      </w:pPr>
      <w:r>
        <w:rPr>
          <w:rFonts w:ascii="Arial" w:cs="Arial" w:eastAsia="Arial" w:hAnsi="Arial"/>
          <w:b w:val="false"/>
          <w:bCs w:val="false"/>
          <w:color w:val="1F2937"/>
          <w:sz w:val="22"/>
          <w:szCs w:val="22"/>
        </w:rPr>
        <w:t xml:space="preserve">Enterprise MCP (Model Context Protocol) represents the trust and governance layer that allows AI agents to take actions across enterprise systems with the security, audit trail, and role-based permissions that financial services demands. Most FIs do not yet have this infrastructure in place — which is precisely why Workato's Enterprise MCP is a first-mover differentiator.</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Enterprise MCP Value in Financial Services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Turn any recipe into a secure MCP server — give AI agents like Claude and ChatGPT governed access to 1,200+ financial apps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AI-powered automation for credit decisioning, fraud detection, and customer service with human-in-the-loop approvals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Enterprise-grade compliance controls: SOC 2, GDPR, role-based access, complete audit trails for every AI action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Coordinate AI agents across the full tech stack without custom development or IT dependency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Enterprise skills accelerate KYC/AML, document processing, credit checks, fraud detection, and regulatory reporting</w:t>
            </w:r>
          </w:p>
        </w:tc>
      </w:tr>
    </w:tbl>
    <w:p>
      <w:pPr>
        <w:spacing w:before="0" w:after="120"/>
      </w:pPr>
    </w:p>
    <w:p>
      <w:pPr>
        <w:pStyle w:val="Heading2"/>
        <w:spacing w:before="300" w:after="100"/>
      </w:pPr>
      <w:r>
        <w:rPr>
          <w:rFonts w:ascii="Arial" w:cs="Arial" w:eastAsia="Arial" w:hAnsi="Arial"/>
          <w:b/>
          <w:bCs/>
          <w:color w:val="007A7A"/>
          <w:sz w:val="28"/>
          <w:szCs w:val="28"/>
        </w:rPr>
        <w:t xml:space="preserve">3E. Barriers to Adoption</w:t>
      </w:r>
    </w:p>
    <w:p>
      <w:pPr>
        <w:pStyle w:val="ListParagraph"/>
        <w:numPr>
          <w:ilvl w:val="0"/>
          <w:numId w:val="2"/>
        </w:numPr>
        <w:spacing w:before="40" w:after="40"/>
      </w:pPr>
      <w:r>
        <w:rPr>
          <w:rFonts w:ascii="Arial" w:cs="Arial" w:eastAsia="Arial" w:hAnsi="Arial"/>
          <w:b w:val="false"/>
          <w:bCs w:val="false"/>
          <w:sz w:val="22"/>
          <w:szCs w:val="22"/>
        </w:rPr>
        <w:t xml:space="preserve">On-prem legacy systems: Many core banking systems cannot connect to cloud-native platforms without an on-prem agent — Workato's virtual instance addresses this directly.</w:t>
      </w:r>
    </w:p>
    <w:p>
      <w:pPr>
        <w:pStyle w:val="ListParagraph"/>
        <w:numPr>
          <w:ilvl w:val="0"/>
          <w:numId w:val="2"/>
        </w:numPr>
        <w:spacing w:before="40" w:after="40"/>
      </w:pPr>
      <w:r>
        <w:rPr>
          <w:rFonts w:ascii="Arial" w:cs="Arial" w:eastAsia="Arial" w:hAnsi="Arial"/>
          <w:b w:val="false"/>
          <w:bCs w:val="false"/>
          <w:sz w:val="22"/>
          <w:szCs w:val="22"/>
        </w:rPr>
        <w:t xml:space="preserve">Security and compliance concerns: FIs require SOC 2 Type II, GDPR compliance, and data residency options before deploying automation at scale.</w:t>
      </w:r>
    </w:p>
    <w:p>
      <w:pPr>
        <w:pStyle w:val="ListParagraph"/>
        <w:numPr>
          <w:ilvl w:val="0"/>
          <w:numId w:val="2"/>
        </w:numPr>
        <w:spacing w:before="40" w:after="40"/>
      </w:pPr>
      <w:r>
        <w:rPr>
          <w:rFonts w:ascii="Arial" w:cs="Arial" w:eastAsia="Arial" w:hAnsi="Arial"/>
          <w:b w:val="false"/>
          <w:bCs w:val="false"/>
          <w:sz w:val="22"/>
          <w:szCs w:val="22"/>
        </w:rPr>
        <w:t xml:space="preserve">Organizational resistance: IT teams fear losing control of integration; Workato's Federated Model with governance controls resolves this.</w:t>
      </w:r>
    </w:p>
    <w:p>
      <w:pPr>
        <w:pStyle w:val="ListParagraph"/>
        <w:numPr>
          <w:ilvl w:val="0"/>
          <w:numId w:val="2"/>
        </w:numPr>
        <w:spacing w:before="40" w:after="40"/>
      </w:pPr>
      <w:r>
        <w:rPr>
          <w:rFonts w:ascii="Arial" w:cs="Arial" w:eastAsia="Arial" w:hAnsi="Arial"/>
          <w:b w:val="false"/>
          <w:bCs w:val="false"/>
          <w:sz w:val="22"/>
          <w:szCs w:val="22"/>
        </w:rPr>
        <w:t xml:space="preserve">Vendor lock-in with MuleSoft/Boomi: Incumbent iPaaS vendors have high switching costs but also high TCO — creating displacement opportunities.</w:t>
      </w:r>
    </w:p>
    <w:p>
      <w:pPr>
        <w:pStyle w:val="ListParagraph"/>
        <w:numPr>
          <w:ilvl w:val="0"/>
          <w:numId w:val="2"/>
        </w:numPr>
        <w:spacing w:before="40" w:after="40"/>
      </w:pPr>
      <w:r>
        <w:rPr>
          <w:rFonts w:ascii="Arial" w:cs="Arial" w:eastAsia="Arial" w:hAnsi="Arial"/>
          <w:b w:val="false"/>
          <w:bCs w:val="false"/>
          <w:sz w:val="22"/>
          <w:szCs w:val="22"/>
        </w:rPr>
        <w:t xml:space="preserve">Talent gap: FinServ IT teams lack automation engineering talent — Workato's low-code approach lowers the barrier significantly.</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4: Target Personas</w:t>
      </w:r>
    </w:p>
    <w:p>
      <w:pPr>
        <w:pBdr>
          <w:bottom w:val="single" w:color="00B4B4" w:sz="6" w:space="1"/>
        </w:pBdr>
        <w:spacing w:before="80" w:after="80"/>
      </w:pPr>
    </w:p>
    <w:p>
      <w:pPr>
        <w:spacing w:before="40" w:after="40"/>
      </w:pPr>
      <w:r>
        <w:rPr>
          <w:rFonts w:ascii="Arial" w:cs="Arial" w:eastAsia="Arial" w:hAnsi="Arial"/>
          <w:color w:val="4B5563"/>
          <w:sz w:val="20"/>
          <w:szCs w:val="20"/>
        </w:rPr>
        <w:t xml:space="preserve">PMM Note — Personas: The following personas apply across all three sub-verticals. Where behavior, pain points, or desired outcomes differ meaningfully by sub-vertical (Traditional Banking, FinTech, Wealth Management), this is noted inline. Separate sub-vertical persona expansions should be added as appendices for sales tool development.</w:t>
      </w:r>
    </w:p>
    <w:p>
      <w:pPr>
        <w:spacing w:before="0" w:after="120"/>
      </w:pPr>
    </w:p>
    <w:p>
      <w:pPr>
        <w:pStyle w:val="Heading2"/>
        <w:spacing w:before="300" w:after="100"/>
      </w:pPr>
      <w:r>
        <w:rPr>
          <w:rFonts w:ascii="Arial" w:cs="Arial" w:eastAsia="Arial" w:hAnsi="Arial"/>
          <w:b/>
          <w:bCs/>
          <w:color w:val="007A7A"/>
          <w:sz w:val="28"/>
          <w:szCs w:val="28"/>
        </w:rPr>
        <w:t xml:space="preserve">4A. Primary Buyer Personas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1: CIO / CTO (Primary Economic Buyer)</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Traditional Banking, FinTech (C-level), Wealth Management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Agility, Risk Reduction, Efficiency &amp; OrCA</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Legacy system modernization costs; inability to deploy AI at scale; balancing innovation with compliance; developer capacity constraints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Negative Effects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Falling behind digital-first competitors; failed AI projects (95% of Enterprise AI projects fail); reputational and regulatory risk from manual processes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AI-ready infrastructure; single platform for integration + orchestration + agentic AI; faster time-to-value on transformation programs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security (SOC 2, GDPR); on-prem agent for legacy cores; cloud-native autoscaling; global data residency</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(Enterprise MCP, Agentic AI, Enterprise Security) + SPEED (Fast Build &amp; Delivery, Extensive Connectivity) + SCALE (OrCA, Governance)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2: VP / Director of Integration Engineering (Champion)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Traditional Banking (large commercial), FinTech, Wealth Management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Agility, Efficiency &amp; OrCA</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Backlog of integration requests from business units; maintaining brittle point-to-point integrations; dependency on specialized iPaaS developers; upgrade downtime</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Negative Effects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IT is a bottleneck for digital transformation; developers spend 60%+ time on maintenance vs. new capabilities; upgrade freezes disrupt business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Federated model where business teams can self-serve; fewer custom integrations to maintain; zero-downtime upgrades; faster deployment cycles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Low-code builder + Pro Code flexibility; Federated Model with governance; Zero Downtime Upgrades; 1,200+ connectors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SPEED (Fast Build &amp; Delivery Experience, Cloud Native Autoscaling) + POWER (Zero Downtime Upgrades) + SCALE (Federated Model with Governance)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3: Head of Digital / Digital Transformation Lead</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Traditional Banking (community/commercial), FinTech</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Agility, Revenue Growth</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Disconnected customer journeys across digital channels; slow time-to-market for new digital products; inability to orchestrate across core banking + CRM + marketing automation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Negative Effects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Customer acquisition loss to digital-first competitors; poor CSAT scores; missed revenue opportunities from failed cross-sell/upsell campaigns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Seamless omnichannel customer experience; AI-powered onboarding and support; real-time data for personalization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CX Genie + Support Genie; KYC/AML automation; Jack Henry / Fiserv / FIS connectors; MCP for agentic customer journeys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(Enterprise MCP, Agentic AI Genies) + SPEED (Extensive Connectivity to core banking) + SCALE (OrCA for high-volume CX workflows)</w:t>
            </w:r>
          </w:p>
        </w:tc>
      </w:tr>
    </w:tbl>
    <w:p>
      <w:pPr>
        <w:spacing w:before="0" w:after="120"/>
      </w:pPr>
    </w:p>
    <w:p>
      <w:pPr>
        <w:pStyle w:val="Heading2"/>
        <w:spacing w:before="300" w:after="100"/>
      </w:pPr>
      <w:r>
        <w:rPr>
          <w:rFonts w:ascii="Arial" w:cs="Arial" w:eastAsia="Arial" w:hAnsi="Arial"/>
          <w:b/>
          <w:bCs/>
          <w:color w:val="007A7A"/>
          <w:sz w:val="28"/>
          <w:szCs w:val="28"/>
        </w:rPr>
        <w:t xml:space="preserve">4B. Secondary Personas (Influencers / Users)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4: Head of Compliance / Chief Risk Officer</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All three sub-verticals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Manual KYC/AML processes; inability to demonstrate audit trails to regulators; fragmented compliance reporting across systems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Automated KYC/AML with complete audit trails; regulatory report generation in minutes vs. hours; human-in-the-loop approval workflows for agentic AI actions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(Enterprise Security &amp; Compliance, Audit Trails, Human-in-the-Loop) + SCALE (Governance at enterprise scale)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5: Head of Revenue Ops / GTM Operations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FinTech (primary), Traditional Banking (secondary)</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Manual errors in campaign creation; native CRM limitations (HubSpot/Salesforce dependencies); sales territory management at scale; license cost optimization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Automated GTM execution based on real-time data triggers; Salesforce license optimization; pipeline management automation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SPEED (Fast Build &amp; Delivery for GTM workflows) + SCALE (OrCA for high-volume marketing tasks, RevOps automation)</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6: Investment Operations / Portfolio Manager</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Wealth &amp; Asset Management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Manual data aggregation across custodians; time spent on reconciliation vs. analysis; research synthesis from fragmented data sources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AI-powered research synthesis (Genies); real-time position reconciliation; automated regulatory reporting (SEC, Form ADV, NAV)</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(Agentic AI Genies for research) + SPEED (Extensive connectivity to portfolio platforms, custodians, market data)</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5: High-Potential AI &amp; Automation Use Cases</w:t>
      </w:r>
    </w:p>
    <w:p>
      <w:pPr>
        <w:pBdr>
          <w:bottom w:val="single" w:color="00B4B4" w:sz="6" w:space="1"/>
        </w:pBdr>
        <w:spacing w:before="80" w:after="80"/>
      </w:pPr>
    </w:p>
    <w:p>
      <w:pPr>
        <w:spacing w:before="40" w:after="40"/>
      </w:pPr>
      <w:r>
        <w:rPr>
          <w:rFonts w:ascii="Arial" w:cs="Arial" w:eastAsia="Arial" w:hAnsi="Arial"/>
          <w:color w:val="4B5563"/>
          <w:sz w:val="20"/>
          <w:szCs w:val="20"/>
        </w:rPr>
        <w:t xml:space="preserve">PMM Note — Use Case Framework: Chapter 5 is organized by sub-vertical, then by the four use case categories aligned to the Workato FinServ web page framework. For each use case, complete the full Current State → Negative Effects → Desired State → Business Outcomes → Workato Capability → Metrics structure for each target account. WSS Value Driver tags are noted inline. Capital Markets use cases are included as an addendum — confirm prioritization with regional sales leadership before leading with this segment.</w:t>
      </w:r>
    </w:p>
    <w:p>
      <w:pPr>
        <w:spacing w:before="0" w:after="120"/>
      </w:pPr>
    </w:p>
    <w:p>
      <w:pPr>
        <w:pStyle w:val="Heading2"/>
        <w:spacing w:before="300" w:after="100"/>
      </w:pPr>
      <w:r>
        <w:rPr>
          <w:rFonts w:ascii="Arial" w:cs="Arial" w:eastAsia="Arial" w:hAnsi="Arial"/>
          <w:b/>
          <w:bCs/>
          <w:color w:val="007A7A"/>
          <w:sz w:val="28"/>
          <w:szCs w:val="28"/>
        </w:rPr>
        <w:t xml:space="preserve">5A. Banks &amp; Credit Unions — Use Cases</w:t>
      </w:r>
    </w:p>
    <w:p>
      <w:pPr>
        <w:spacing w:before="60" w:after="60"/>
      </w:pPr>
      <w:r>
        <w:rPr>
          <w:rFonts w:ascii="Arial" w:cs="Arial" w:eastAsia="Arial" w:hAnsi="Arial"/>
          <w:b w:val="false"/>
          <w:bCs w:val="false"/>
          <w:color w:val="1F2937"/>
          <w:sz w:val="22"/>
          <w:szCs w:val="22"/>
        </w:rPr>
        <w:t xml:space="preserve">Sub-vertical: Traditional Banking (commercial banks, community banks, credit unions)</w:t>
      </w:r>
    </w:p>
    <w:p>
      <w:pPr>
        <w:spacing w:before="0" w:after="60"/>
      </w:pPr>
    </w:p>
    <w:p>
      <w:pPr>
        <w:pStyle w:val="Heading3"/>
        <w:spacing w:before="200" w:after="80"/>
      </w:pPr>
      <w:r>
        <w:rPr>
          <w:rFonts w:ascii="Arial" w:cs="Arial" w:eastAsia="Arial" w:hAnsi="Arial"/>
          <w:b/>
          <w:bCs/>
          <w:color w:val="1F2937"/>
          <w:sz w:val="24"/>
          <w:szCs w:val="24"/>
        </w:rPr>
        <w:t xml:space="preserve">Loan Processing &amp; Underwriting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Loan Origination — From Application to Approval [WSS: Enterprise Agility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7–14 day manual processing; 3 FTEs per 100 loan applications; 60% of applicants abandon if process exceeds 5 minutes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Negative Effects: $4.2M+ in lost revenue per year from abandonment; competitive disadvantage vs. digital-first lenders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Same-day decisioning; AI-powered IDP extracts income verification, property appraisals, and credit bureau data automatically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60% faster processing; 85% reduction in abandonment; 300-400K monthly tasks automated (Lightbulb Credit reference)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Enterprise MCP + KYC Genie orchestrate across core banking (Jack Henry, Fiserv, FIS), credit bureaus (Experian, Equifax), and CRM</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Time to approval (days → hours), abandonment rate, cost per application, FTE per 100 apps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Automated Underwriting Decisioning &amp; Credit Scoring [WSS: Efficiency +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Underwriters manually pull data from multiple systems to render credit decisions; low-complexity renewals consume same effort as complex cases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Straight-through processing for routine renewals; AI-assisted risk scoring from connected data sources; underwriters focused on complex/specialty risks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Federated Model allows underwriting ops teams to build and own decisioning workflows; IDP for loan documents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Straight-through processing rate, underwriter capacity freed for complex cases, decision accuracy</w:t>
            </w:r>
          </w:p>
        </w:tc>
      </w:tr>
    </w:tbl>
    <w:p>
      <w:pPr>
        <w:spacing w:before="0" w:after="120"/>
      </w:pPr>
    </w:p>
    <w:p>
      <w:pPr>
        <w:pStyle w:val="Heading3"/>
        <w:spacing w:before="200" w:after="80"/>
      </w:pPr>
      <w:r>
        <w:rPr>
          <w:rFonts w:ascii="Arial" w:cs="Arial" w:eastAsia="Arial" w:hAnsi="Arial"/>
          <w:b/>
          <w:bCs/>
          <w:color w:val="1F2937"/>
          <w:sz w:val="24"/>
          <w:szCs w:val="24"/>
        </w:rPr>
        <w:t xml:space="preserve">Operations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KYC/AML Compliance Automation [WSS: Risk Reduction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5–7 days, 3 FTEs per 100 applications for KYC/AML compliance checks; manual audit trail assembly for regulators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24-hour onboarding, 1 FTE per 300 applications; complete automated audit trail for BSA/AML examiners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KYC Genie + Enterprise MCP with role-based access; Socure, Alloy, and Jumio integrations for identity verification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Cost per onboarding ($120 → $35), FTE savings, compliance error rate, examiner response time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Regulatory Reporting Automation — HMDA, CRA, BSA [WSS: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Manual data aggregation across 15+ systems; 4-hour report generation cycles for regulatory submissions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reporting from connected systems in 15 minutes; complete audit trail; error rate near zero</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Fast Build &amp; Delivery + Extensive Connectivity across core banking, data warehouse, and compliance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Report generation time (4 hours → 15 minutes), FTE hours saved, regulatory filing error rate</w:t>
            </w:r>
          </w:p>
        </w:tc>
      </w:tr>
    </w:tbl>
    <w:p>
      <w:pPr>
        <w:spacing w:before="0" w:after="120"/>
      </w:pPr>
    </w:p>
    <w:p>
      <w:pPr>
        <w:pStyle w:val="Heading3"/>
        <w:spacing w:before="200" w:after="80"/>
      </w:pPr>
      <w:r>
        <w:rPr>
          <w:rFonts w:ascii="Arial" w:cs="Arial" w:eastAsia="Arial" w:hAnsi="Arial"/>
          <w:b/>
          <w:bCs/>
          <w:color w:val="1F2937"/>
          <w:sz w:val="24"/>
          <w:szCs w:val="24"/>
        </w:rPr>
        <w:t xml:space="preserve">Integration &amp; Data (Core Banking Modernization)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Core Banking Migration — Legacy to Cloud [WSS: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Legacy PAS (on-prem Jack Henry, Fiserv, FIS) with dozens of point-to-point integrations to CRM, ERP, data warehouse — brittle and expensive to maintain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Workato as the migration orchestration layer; real-time sync between legacy and new core during parallel run; automated data reconciliation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On-prem agents connect legacy cores; pre-built connectors to Jack Henry (Silverlake, Symitar, CIF2020), Fiserv, FIS via API People partnership</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Migration timeline acceleration, data fidelity score, manual interventions during parallel run, post-migration integration maintenance cost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Real-Time Data Synchronization — Core Banking to CRM &amp; Data Warehouse [WSS: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Batch overnight syncs between core banking, Salesforce, and Snowflake — stale data undermines customer service and analytics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Real-time event-driven data flows; customer service reps see live account data; analytics teams query current data</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Event Streams + ETL/ELT pipeline automation; Snowflake + SQL Server + Salesforce connectivity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Data latency (overnight → real-time), analyst query accuracy, customer service resolution time</w:t>
            </w:r>
          </w:p>
        </w:tc>
      </w:tr>
    </w:tbl>
    <w:p>
      <w:pPr>
        <w:spacing w:before="0" w:after="120"/>
      </w:pPr>
    </w:p>
    <w:p>
      <w:pPr>
        <w:pStyle w:val="Heading3"/>
        <w:spacing w:before="200" w:after="80"/>
      </w:pPr>
      <w:r>
        <w:rPr>
          <w:rFonts w:ascii="Arial" w:cs="Arial" w:eastAsia="Arial" w:hAnsi="Arial"/>
          <w:b/>
          <w:bCs/>
          <w:color w:val="1F2937"/>
          <w:sz w:val="24"/>
          <w:szCs w:val="24"/>
        </w:rPr>
        <w:t xml:space="preserve">Customer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AI-Powered Customer Support Genie [WSS: Revenue Growth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High-volume contact center handling routine account inquiries (balance, transaction disputes, rate questions) at $8–12 cost per interaction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Support Genie handles 60%+ of routine inquiries instantly; agents focus on complex service and cross-sell opportunities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Support Genie + Enterprise MCP gives AI agents governed access to core banking and CRM for real-time account data</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Contact center cost per interaction, deflection rate, CSAT score, first-call resolution rate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Fraud Detection &amp; Real-Time Alert Orchestration [WSS: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Fraud scoring models run in isolation; alerts not connected to case management, account hold, or customer notification workflows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Real-time fraud signal triggers automated account hold, SIU case creation, and customer notification within seconds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Enterprise Agentic AI + Cloud Native Autoscaling for high-velocity transaction event streams; human-in-the-loop for high-value decisions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Time from fraud signal to action (days → seconds), fraud loss prevented, false positive rate</w:t>
            </w:r>
          </w:p>
        </w:tc>
      </w:tr>
    </w:tbl>
    <w:p>
      <w:pPr>
        <w:spacing w:before="0" w:after="120"/>
      </w:pPr>
    </w:p>
    <w:p>
      <w:pPr>
        <w:pStyle w:val="Heading2"/>
        <w:spacing w:before="300" w:after="100"/>
      </w:pPr>
      <w:r>
        <w:rPr>
          <w:rFonts w:ascii="Arial" w:cs="Arial" w:eastAsia="Arial" w:hAnsi="Arial"/>
          <w:b/>
          <w:bCs/>
          <w:color w:val="007A7A"/>
          <w:sz w:val="28"/>
          <w:szCs w:val="28"/>
        </w:rPr>
        <w:t xml:space="preserve">5B. FinTech &amp; Digital-First — Use Cases</w:t>
      </w:r>
    </w:p>
    <w:p>
      <w:pPr>
        <w:spacing w:before="60" w:after="60"/>
      </w:pPr>
      <w:r>
        <w:rPr>
          <w:rFonts w:ascii="Arial" w:cs="Arial" w:eastAsia="Arial" w:hAnsi="Arial"/>
          <w:b w:val="false"/>
          <w:bCs w:val="false"/>
          <w:color w:val="1F2937"/>
          <w:sz w:val="22"/>
          <w:szCs w:val="22"/>
        </w:rPr>
        <w:t xml:space="preserve">Sub-vertical: Digital-first financial platforms, embedded finance, payments, digital lenders</w:t>
      </w:r>
    </w:p>
    <w:p>
      <w:pPr>
        <w:spacing w:before="0" w:after="60"/>
      </w:pPr>
    </w:p>
    <w:p>
      <w:pPr>
        <w:pStyle w:val="Heading3"/>
        <w:spacing w:before="200" w:after="80"/>
      </w:pPr>
      <w:r>
        <w:rPr>
          <w:rFonts w:ascii="Arial" w:cs="Arial" w:eastAsia="Arial" w:hAnsi="Arial"/>
          <w:b/>
          <w:bCs/>
          <w:color w:val="1F2937"/>
          <w:sz w:val="24"/>
          <w:szCs w:val="24"/>
        </w:rPr>
        <w:t xml:space="preserve">Customer Experience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Instant Customer Onboarding — KYC/AML to Account Activation [WSS: Enterprise Agility +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Customer onboarding spans 2–5 days; identity verification, KYC/AML checks, and account provisioning handled by separate teams in separate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Account creation in minutes; automated KYC/AML, identity verification, and system provisioning triggered from a single onboarding event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84% reduction in merchant acquisition timeline (Bread Financial); eliminated 30 min/customer manual data entry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CX Genie + Enterprise MCP orchestrates across KYC platforms (Alloy, Socure), CRM (Salesforce/HubSpot), and core product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Onboarding time (days → minutes), KYC pass rate, cost per onboarded customer, activation rate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AI-Powered CX Genie — Intelligent Customer Support [WSS: Revenue Growth]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Customer support handled by large contact center teams; wait times and inconsistent resolution frustrate digital-native customers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CX Genie resolves 60%+ of inquiries instantly; personalized responses using live account and transaction data</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CX Genie + Enterprise MCP provides governed AI access to customer accounts, transaction history, and product catalog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Handle time reduction, deflection rate, CSAT score, revenue from in-conversation cross-sell</w:t>
            </w:r>
          </w:p>
        </w:tc>
      </w:tr>
    </w:tbl>
    <w:p>
      <w:pPr>
        <w:spacing w:before="0" w:after="120"/>
      </w:pPr>
    </w:p>
    <w:p>
      <w:pPr>
        <w:pStyle w:val="Heading3"/>
        <w:spacing w:before="200" w:after="80"/>
      </w:pPr>
      <w:r>
        <w:rPr>
          <w:rFonts w:ascii="Arial" w:cs="Arial" w:eastAsia="Arial" w:hAnsi="Arial"/>
          <w:b/>
          <w:bCs/>
          <w:color w:val="1F2937"/>
          <w:sz w:val="24"/>
          <w:szCs w:val="24"/>
        </w:rPr>
        <w:t xml:space="preserve">Revenue Operations &amp; GTM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Marketing Automation — Win First-Time Credit Buyers [WSS: Revenue Growth]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Outdated customer data; manual campaign creation; native HubSpot/Salesforce limitations mean GTM teams can't act on real-time triggers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trigger-based campaigns that reach first-time credit buyers at the moment of intent; real-time territory management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Ramp reduced time to generate opportunities by 97%; decreased L1 tickets by 80%; 12x faster debugging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RevOps automation across Salesforce, marketing automation platforms, and data warehouse; territory management and license optimization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Customer acquisition cost, first-time buyer conversion rate, Salesforce license cost savings, campaign time-to-launch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Sales Ops &amp; CRM Optimization [WSS: Efficiency +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Salesforce data quality issues; territory assignments done in spreadsheets; license overspend due to no optimization process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territory management, CRM data hygiene, and license right-sizing using real-time usage data</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Synchrony used Workato for RevOps — sales territory management (geo-segmentation) and Salesforce license optimization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Salesforce-to-Snowflake data pipeline; lookup tables and data transformation; automated territory assignment workflows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Salesforce license cost reduction, CRM data accuracy rate, time to update territory assignments</w:t>
            </w:r>
          </w:p>
        </w:tc>
      </w:tr>
    </w:tbl>
    <w:p>
      <w:pPr>
        <w:spacing w:before="0" w:after="120"/>
      </w:pPr>
    </w:p>
    <w:p>
      <w:pPr>
        <w:pStyle w:val="Heading3"/>
        <w:spacing w:before="200" w:after="80"/>
      </w:pPr>
      <w:r>
        <w:rPr>
          <w:rFonts w:ascii="Arial" w:cs="Arial" w:eastAsia="Arial" w:hAnsi="Arial"/>
          <w:b/>
          <w:bCs/>
          <w:color w:val="1F2937"/>
          <w:sz w:val="24"/>
          <w:szCs w:val="24"/>
        </w:rPr>
        <w:t xml:space="preserve">Embedded Payments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Merchant / Partner Onboarding — From Months to Minutes [WSS: Revenue Growth +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New merchant or banking partner onboarding requires months of custom API integration; manual KYC, pricing approval, and account provisioning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partner onboarding workflow: KYC verification → pricing approval → agreement execution → account provisioning in under 5 minutes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Novatti reduced merchant onboarding from months to less than 5 minutes; 15 systems integrated across Sales, Risk, Legal, Support, and Payments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Workato Embed enables FinTechs to build integration capabilities directly into their distribution platform</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Partner onboarding time, acquisition rate, API integration maintenance cost, partner churn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Payment Processing &amp; Financial Operations Automation [WSS: Efficiency +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Order-to-cash, procure-to-pay, and payment reconciliation processes require manual intervention and batch processing across disconnected ERP and payment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Real-time financial data synchronization; automated reconciliation with AI-powered exception handling; straight-through payment processing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OrCA consumption-based pricing scales with transaction volume; AI-powered reconciliation genies; Stripe, Plaid, Marqeta connectivity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Transaction processing cost reduction, reconciliation accuracy, month-end close cycle time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API Platform Integrations for Merchant Partnerships [WSS: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Each new merchant API integration built and maintained as custom point-to-point code — expensive, brittle, and slow to deploy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Standardized API orchestration layer that connects new merchants in days, not months; self-service integration portal for partners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Affirm uses Workato for merchant API platform integrations and competitive analysis workflows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Extensive Connectivity + auto-scaling for rapidly growing merchant volumes; Workato Embed for self-service partner integrations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New merchant integration time, integration maintenance FTE cost, merchant partner NPS</w:t>
            </w:r>
          </w:p>
        </w:tc>
      </w:tr>
    </w:tbl>
    <w:p>
      <w:pPr>
        <w:spacing w:before="0" w:after="120"/>
      </w:pPr>
    </w:p>
    <w:p>
      <w:pPr>
        <w:pStyle w:val="Heading2"/>
        <w:spacing w:before="300" w:after="100"/>
      </w:pPr>
      <w:r>
        <w:rPr>
          <w:rFonts w:ascii="Arial" w:cs="Arial" w:eastAsia="Arial" w:hAnsi="Arial"/>
          <w:b/>
          <w:bCs/>
          <w:color w:val="007A7A"/>
          <w:sz w:val="28"/>
          <w:szCs w:val="28"/>
        </w:rPr>
        <w:t xml:space="preserve">5C. Wealth &amp; Asset Management — Use Cases</w:t>
      </w:r>
    </w:p>
    <w:p>
      <w:pPr>
        <w:spacing w:before="60" w:after="60"/>
      </w:pPr>
      <w:r>
        <w:rPr>
          <w:rFonts w:ascii="Arial" w:cs="Arial" w:eastAsia="Arial" w:hAnsi="Arial"/>
          <w:b w:val="false"/>
          <w:bCs w:val="false"/>
          <w:color w:val="1F2937"/>
          <w:sz w:val="22"/>
          <w:szCs w:val="22"/>
        </w:rPr>
        <w:t xml:space="preserve">Sub-vertical: Independent asset managers, wealth advisory firms, private equity/credit, multi-family offices</w:t>
      </w:r>
    </w:p>
    <w:p>
      <w:pPr>
        <w:spacing w:before="0" w:after="60"/>
      </w:pPr>
    </w:p>
    <w:p>
      <w:pPr>
        <w:pStyle w:val="Heading3"/>
        <w:spacing w:before="200" w:after="80"/>
      </w:pPr>
      <w:r>
        <w:rPr>
          <w:rFonts w:ascii="Arial" w:cs="Arial" w:eastAsia="Arial" w:hAnsi="Arial"/>
          <w:b/>
          <w:bCs/>
          <w:color w:val="1F2937"/>
          <w:sz w:val="24"/>
          <w:szCs w:val="24"/>
        </w:rPr>
        <w:t xml:space="preserve">Investment Operations &amp;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AI-Powered Research Synthesis &amp; Analysis Workflows [WSS: Enterprise Agility + Revenue Growth]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Portfolio managers and analysts manually aggregate earnings calls, research reports, SEC filings, and market data from disparate sources — hours per report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Research Genie synthesizes complex reports, identifies key data points, and delivers structured summaries; portfolio managers focus on decisions, not data gathering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Man Group uses AI orchestration with Python/LLMs for research; Fidelity built custom workflow development for GTM operations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Agentic AI Genies + Enterprise MCP for research workflows; market data aggregation from Bloomberg, Refinitiv, and alternative sources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Research preparation time per analyst (hours → minutes), portfolio decision velocity, analyst capacity freed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Portfolio Rebalancing &amp; Trade Order Automation [WSS: Efficiency +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Portfolio rebalancing triggers manual trade orders across multiple custodians; reconciliation between OMS, portfolio management system, and custodian is manual</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rebalancing workflow triggers trade orders; real-time position reconciliation across custodians and fund administrators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Brookfield Asset Management uses Workato for real-time sync between disparate enterprise apps and newly-acquired companies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OMS and portfolio management platform connectivity (BlackRock Aladdin, SS&amp;C, Charles River); real-time position data synchronization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Rebalancing execution time, reconciliation error rate, operational cost per trade</w:t>
            </w:r>
          </w:p>
        </w:tc>
      </w:tr>
    </w:tbl>
    <w:p>
      <w:pPr>
        <w:spacing w:before="0" w:after="120"/>
      </w:pPr>
    </w:p>
    <w:p>
      <w:pPr>
        <w:pStyle w:val="Heading3"/>
        <w:spacing w:before="200" w:after="80"/>
      </w:pPr>
      <w:r>
        <w:rPr>
          <w:rFonts w:ascii="Arial" w:cs="Arial" w:eastAsia="Arial" w:hAnsi="Arial"/>
          <w:b/>
          <w:bCs/>
          <w:color w:val="1F2937"/>
          <w:sz w:val="24"/>
          <w:szCs w:val="24"/>
        </w:rPr>
        <w:t xml:space="preserve">Client Services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Accelerated Client Onboarding — KYC/AML to Portfolio Access [WSS: Efficiency +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New client onboarding spans 2–3 weeks; KYC/AML documentation, compliance checks, and CRM-to-portfolio-system provisioning done manually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48-hour onboarding; AI-powered KYC/AML document processing; automated provisioning across CRM, portfolio system, and reporting platform</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Know Your Customer Genie + Enterprise MCP; CRM to portfolio management system synchronization (Salesforce Redtail → Aladdin/Charles River)</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Client onboarding time (weeks → days), KYC documentation accuracy, ops team FTE savings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Support Genie — Reduce Handle Time &amp; Improve CSAT [WSS: Revenue Growth]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Client service teams spend significant time on routine inquiries (account balance, performance reporting, fee questions) that could be automated</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Support Genie handles routine client inquiries instantly, with escalation paths for complex questions; 24/7 availability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Support Genie + Enterprise MCP with governed access to portfolio data, account records, and billing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Handle time reduction, client CSAT score, service team capacity freed for relationship work, client retention rate</w:t>
            </w:r>
          </w:p>
        </w:tc>
      </w:tr>
    </w:tbl>
    <w:p>
      <w:pPr>
        <w:spacing w:before="0" w:after="120"/>
      </w:pPr>
    </w:p>
    <w:p>
      <w:pPr>
        <w:pStyle w:val="Heading3"/>
        <w:spacing w:before="200" w:after="80"/>
      </w:pPr>
      <w:r>
        <w:rPr>
          <w:rFonts w:ascii="Arial" w:cs="Arial" w:eastAsia="Arial" w:hAnsi="Arial"/>
          <w:b/>
          <w:bCs/>
          <w:color w:val="1F2937"/>
          <w:sz w:val="24"/>
          <w:szCs w:val="24"/>
        </w:rPr>
        <w:t xml:space="preserve">Operations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Regulatory Reporting Automation — SEC, Form ADV, FINRA [WSS: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Regulatory filings (Form ADV, CTA filings, FINRA 4370 business continuity) require manual data aggregation from portfolio, client, and AUM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regulatory data aggregation and report generation; version control and complete audit trail; submission tracking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Edelman Financial uses Workato for access controls, security protocols, CRM to ERP, and automated report generation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Fast Build &amp; Delivery + Extensive Connectivity across portfolio management, CRM, and compliance platforms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Filing cycle time, compliance error rate, regulatory response time, audit readiness score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JML Lifecycle Management — Employee Access &amp; Security [WSS: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Employee onboarding, role changes, and offboarding across Workday, Active Directory, and 20+ trading/investment systems done manually — days to complete, security risk</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JML workflows with access granted/revoked in hours; every change logged with complete audit trail</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Man Group uses Workato for Workday integration (all modules) + JML lifecycle management + AI/NLP help desk triage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Workday (all modules) + ServiceNow/Jira ITSM + Active Directory integration; POWER differentiator: Zero Downtime Upgrades for 24/7 trading environments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Time to provision new hire access (days → hours), time to revoke departing employee access (days → minutes), security incident rate</w:t>
            </w:r>
          </w:p>
        </w:tc>
      </w:tr>
    </w:tbl>
    <w:p>
      <w:pPr>
        <w:spacing w:before="0" w:after="120"/>
      </w:pPr>
    </w:p>
    <w:p>
      <w:pPr>
        <w:pStyle w:val="Heading2"/>
        <w:spacing w:before="300" w:after="100"/>
      </w:pPr>
      <w:r>
        <w:rPr>
          <w:rFonts w:ascii="Arial" w:cs="Arial" w:eastAsia="Arial" w:hAnsi="Arial"/>
          <w:b/>
          <w:bCs/>
          <w:color w:val="007A7A"/>
          <w:sz w:val="28"/>
          <w:szCs w:val="28"/>
        </w:rPr>
        <w:t xml:space="preserve">5D. Capital Markets — Use Cases</w:t>
      </w:r>
    </w:p>
    <w:p>
      <w:pPr>
        <w:spacing w:before="60" w:after="60"/>
      </w:pPr>
      <w:r>
        <w:rPr>
          <w:rFonts w:ascii="Arial" w:cs="Arial" w:eastAsia="Arial" w:hAnsi="Arial"/>
          <w:b w:val="false"/>
          <w:bCs w:val="false"/>
          <w:color w:val="1F2937"/>
          <w:sz w:val="22"/>
          <w:szCs w:val="22"/>
        </w:rPr>
        <w:t xml:space="preserve">Sub-vertical: Broker-dealers, market infrastructure, trading platforms, clearing &amp; settlement</w:t>
      </w:r>
    </w:p>
    <w:p>
      <w:pPr>
        <w:spacing w:before="40" w:after="40"/>
      </w:pPr>
      <w:r>
        <w:rPr>
          <w:rFonts w:ascii="Arial" w:cs="Arial" w:eastAsia="Arial" w:hAnsi="Arial"/>
          <w:color w:val="4B5563"/>
          <w:sz w:val="20"/>
          <w:szCs w:val="20"/>
        </w:rPr>
        <w:t xml:space="preserve">PMM Note — Capital Markets: Confirm prioritization with regional sales leadership. This segment is shown in the FinServ web page framework and has active customer references (Nasdaq). It shares significant overlap with Wealth &amp; Asset Management in data, compliance, and client service workflows.</w:t>
      </w:r>
    </w:p>
    <w:p>
      <w:pPr>
        <w:spacing w:before="0" w:after="60"/>
      </w:pPr>
    </w:p>
    <w:p>
      <w:pPr>
        <w:pStyle w:val="Heading3"/>
        <w:spacing w:before="200" w:after="80"/>
      </w:pPr>
      <w:r>
        <w:rPr>
          <w:rFonts w:ascii="Arial" w:cs="Arial" w:eastAsia="Arial" w:hAnsi="Arial"/>
          <w:b/>
          <w:bCs/>
          <w:color w:val="1F2937"/>
          <w:sz w:val="24"/>
          <w:szCs w:val="24"/>
        </w:rPr>
        <w:t xml:space="preserve">Trading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Trade Reconciliation &amp; Settlement Automation [WSS: Efficiency +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Post-trade reconciliation across multiple custodians, prime brokers, and counterparties requires significant manual effort; T+1 settlement pressures are increasing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trade reconciliation with exception flagging; real-time P&amp;L and position reporting; settlement instructions generated and submitted automatically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Real-time event-driven integration across OMS, custodians, and clearing systems; Snowflake ETL/ELT for reconciliation analytics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Reconciliation exception rate, settlement fail rate, time-to-reconcile (hours → minutes)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Regulatory Reporting — EMIR, MiFID II, Dodd-Frank [WSS: Risk Reduction]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Post-trade regulatory reporting across EMIR, MiFID II, and Dodd-Frank requires manual data aggregation from trading, risk, and reference data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regulatory report generation and submission with complete audit trail; real-time data accuracy across all submissions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Extensive Connectivity across trading platforms, risk management systems, and regulatory reporting platforms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Reporting accuracy rate, submission time, regulatory breach incidents</w:t>
            </w:r>
          </w:p>
        </w:tc>
      </w:tr>
    </w:tbl>
    <w:p>
      <w:pPr>
        <w:spacing w:before="0" w:after="120"/>
      </w:pPr>
    </w:p>
    <w:p>
      <w:pPr>
        <w:pStyle w:val="Heading3"/>
        <w:spacing w:before="200" w:after="80"/>
      </w:pPr>
      <w:r>
        <w:rPr>
          <w:rFonts w:ascii="Arial" w:cs="Arial" w:eastAsia="Arial" w:hAnsi="Arial"/>
          <w:b/>
          <w:bCs/>
          <w:color w:val="1F2937"/>
          <w:sz w:val="24"/>
          <w:szCs w:val="24"/>
        </w:rPr>
        <w:t xml:space="preserve">Investment Research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Research Synthesis &amp; Investment Decision Support [WSS: Enterprise Agility + Revenue Growth]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Research analysts manually aggregate earnings calls, SEC filings, alternative data, and market commentary — high-value time spent on low-value aggregation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Research Genie synthesizes complex multi-source reports; AI highlights key signals; analysts focus on interpretation and investment thesis development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Nasdaq has 6x faster automation development times using Workato; production across data warehouse integration, ITSM, sales/marketing, and finance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Agentic AI Genies + Enterprise MCP; Bloomberg, Refinitiv, and alternative data source connectivity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Research preparation time per analyst, signal identification speed, investment decision latency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Market Data Aggregation &amp; Enrichment [WSS: Efficiency]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Reference data (pricing, corporate actions, instrument master) aggregated manually from multiple vendors; data quality issues impact downstream analytics and compliance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market data pipeline from Bloomberg, Refinitiv, and vendor feeds to Snowflake data warehouse; data quality validation automated</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Real-time event-driven data pipelines; Snowflake ETL/ELT + SQL Server; data transformation and enrichment recipes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Data latency, data quality score, analytics platform availability, vendor data reconciliation cost</w:t>
            </w:r>
          </w:p>
        </w:tc>
      </w:tr>
    </w:tbl>
    <w:p>
      <w:pPr>
        <w:spacing w:before="0" w:after="120"/>
      </w:pPr>
    </w:p>
    <w:p>
      <w:pPr>
        <w:pStyle w:val="Heading3"/>
        <w:spacing w:before="200" w:after="80"/>
      </w:pPr>
      <w:r>
        <w:rPr>
          <w:rFonts w:ascii="Arial" w:cs="Arial" w:eastAsia="Arial" w:hAnsi="Arial"/>
          <w:b/>
          <w:bCs/>
          <w:color w:val="1F2937"/>
          <w:sz w:val="24"/>
          <w:szCs w:val="24"/>
        </w:rPr>
        <w:t xml:space="preserve">Client Services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Institutional Client Onboarding — KYC/AML &amp; Account Provisioning [WSS: Enterprise Agility]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Institutional client onboarding (hedge funds, asset managers, pension funds) requires extensive KYC/AML documentation and manual account setup across multiple trading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Streamlined digital onboarding with AI-powered KYC document processing; automated provisioning across CRM, trading systems, and clearing accounts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KYC Genie + IDP for onboarding documents; Salesforce FSC + trading system provisioning workflows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Client onboarding time (weeks → days), KYC document processing accuracy, ops team capacity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Client Reporting Automation &amp; Distribution [WSS: Efficiency + Revenue Growth]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Custom client reports generated manually from portfolio data; distribution via email with version control issues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report generation from connected portfolio and performance systems; personalized distribution by preferred channel on schedule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Harris Williams uses Workato for ERP transition; Snowflake ETL to ELT for data modernization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Portfolio management platform + Snowflake + CRM connectivity; automated report generation and distribution workflows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Report generation time, reporting error rate, client satisfaction with reporting quality</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6: Technology Ecosystem Overview</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6A. Core Systems of Record by Sub-Vertical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System Category</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Traditional Banking</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FinTech / Digital-First</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Wealth Management</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Core Banking</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Jack Henry, Fiserv, FIS, Finastra, Q2, CSI, Corelation</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Proprietary core, Galileo, Unit</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N/A (investment platforms)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Oracle, SAP, NetSuite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NetSuite, Coupa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Oracle, NetSuite</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CRM</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Salesforce, nCino (lending)</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Salesforce, HubSpot, Pipedrive</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Salesforce, Dynamics, Redtail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 / Payroll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Workday, ADP, UKG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Workday, BambooHR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Workday, ADP</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ITSM</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ServiceNow, Jira</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Jira, ServiceNow, Zendesk</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ServiceNow, Jira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Warehouse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Snowflake, SQL Server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Snowflake, Databricks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Snowflake, Bloomberg</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KYC/AML</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Socure, Alloy, Jumio, Personr</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Alloy, Socure, Stripe Identity</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World-Check, Refinitiv</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Portfolio / OMS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BlackRock Aladdin, SS&amp;C, SimCorp, Charles River</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Doc Management</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PandaDoc, DocuSign</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DocuSign, PandaDoc</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DocuSign, iManage</w:t>
            </w:r>
          </w:p>
        </w:tc>
      </w:tr>
    </w:tbl>
    <w:p>
      <w:pPr>
        <w:spacing w:before="0" w:after="120"/>
      </w:pPr>
    </w:p>
    <w:p>
      <w:pPr>
        <w:pStyle w:val="Heading2"/>
        <w:spacing w:before="300" w:after="100"/>
      </w:pPr>
      <w:r>
        <w:rPr>
          <w:rFonts w:ascii="Arial" w:cs="Arial" w:eastAsia="Arial" w:hAnsi="Arial"/>
          <w:b/>
          <w:bCs/>
          <w:color w:val="007A7A"/>
          <w:sz w:val="28"/>
          <w:szCs w:val="28"/>
        </w:rPr>
        <w:t xml:space="preserve">6B. Integration Patterns &amp; Requirements</w:t>
      </w:r>
    </w:p>
    <w:p>
      <w:pPr>
        <w:pStyle w:val="ListParagraph"/>
        <w:numPr>
          <w:ilvl w:val="0"/>
          <w:numId w:val="2"/>
        </w:numPr>
        <w:spacing w:before="40" w:after="40"/>
      </w:pPr>
      <w:r>
        <w:rPr>
          <w:rFonts w:ascii="Arial" w:cs="Arial" w:eastAsia="Arial" w:hAnsi="Arial"/>
          <w:b w:val="false"/>
          <w:bCs w:val="false"/>
          <w:sz w:val="22"/>
          <w:szCs w:val="22"/>
        </w:rPr>
        <w:t xml:space="preserve">Real-time event-driven integration: Core banking transaction events triggering downstream workflows (fraud alerts, account updates, compliance logging).</w:t>
      </w:r>
    </w:p>
    <w:p>
      <w:pPr>
        <w:pStyle w:val="ListParagraph"/>
        <w:numPr>
          <w:ilvl w:val="0"/>
          <w:numId w:val="2"/>
        </w:numPr>
        <w:spacing w:before="40" w:after="40"/>
      </w:pPr>
      <w:r>
        <w:rPr>
          <w:rFonts w:ascii="Arial" w:cs="Arial" w:eastAsia="Arial" w:hAnsi="Arial"/>
          <w:b w:val="false"/>
          <w:bCs w:val="false"/>
          <w:sz w:val="22"/>
          <w:szCs w:val="22"/>
        </w:rPr>
        <w:t xml:space="preserve">ETL/ELT data pipelines: Legacy system to Snowflake data warehouse modernization is a common entry use case.</w:t>
      </w:r>
    </w:p>
    <w:p>
      <w:pPr>
        <w:pStyle w:val="ListParagraph"/>
        <w:numPr>
          <w:ilvl w:val="0"/>
          <w:numId w:val="2"/>
        </w:numPr>
        <w:spacing w:before="40" w:after="40"/>
      </w:pPr>
      <w:r>
        <w:rPr>
          <w:rFonts w:ascii="Arial" w:cs="Arial" w:eastAsia="Arial" w:hAnsi="Arial"/>
          <w:b w:val="false"/>
          <w:bCs w:val="false"/>
          <w:sz w:val="22"/>
          <w:szCs w:val="22"/>
        </w:rPr>
        <w:t xml:space="preserve">API-led connectivity: Open banking APIs, partner integrations, embedded finance — all requiring governed API management.</w:t>
      </w:r>
    </w:p>
    <w:p>
      <w:pPr>
        <w:pStyle w:val="ListParagraph"/>
        <w:numPr>
          <w:ilvl w:val="0"/>
          <w:numId w:val="2"/>
        </w:numPr>
        <w:spacing w:before="40" w:after="40"/>
      </w:pPr>
      <w:r>
        <w:rPr>
          <w:rFonts w:ascii="Arial" w:cs="Arial" w:eastAsia="Arial" w:hAnsi="Arial"/>
          <w:b w:val="false"/>
          <w:bCs w:val="false"/>
          <w:sz w:val="22"/>
          <w:szCs w:val="22"/>
        </w:rPr>
        <w:t xml:space="preserve">On-prem agent connectivity: Many core banking and insurance policy systems require on-prem agent for cloud connectivity.</w:t>
      </w:r>
    </w:p>
    <w:p>
      <w:pPr>
        <w:pStyle w:val="ListParagraph"/>
        <w:numPr>
          <w:ilvl w:val="0"/>
          <w:numId w:val="2"/>
        </w:numPr>
        <w:spacing w:before="40" w:after="40"/>
      </w:pPr>
      <w:r>
        <w:rPr>
          <w:rFonts w:ascii="Arial" w:cs="Arial" w:eastAsia="Arial" w:hAnsi="Arial"/>
          <w:b w:val="false"/>
          <w:bCs w:val="false"/>
          <w:sz w:val="22"/>
          <w:szCs w:val="22"/>
        </w:rPr>
        <w:t xml:space="preserve">Human-in-the-loop approval flows: Credit decisions, compliance reviews, and large transaction approvals require structured human intervention within automated workflows.</w:t>
      </w:r>
    </w:p>
    <w:p>
      <w:pPr>
        <w:spacing w:before="0" w:after="120"/>
      </w:pPr>
    </w:p>
    <w:p>
      <w:pPr>
        <w:pStyle w:val="Heading2"/>
        <w:spacing w:before="300" w:after="100"/>
      </w:pPr>
      <w:r>
        <w:rPr>
          <w:rFonts w:ascii="Arial" w:cs="Arial" w:eastAsia="Arial" w:hAnsi="Arial"/>
          <w:b/>
          <w:bCs/>
          <w:color w:val="007A7A"/>
          <w:sz w:val="28"/>
          <w:szCs w:val="28"/>
        </w:rPr>
        <w:t xml:space="preserve">6C. Partner Ecosystem</w:t>
      </w:r>
    </w:p>
    <w:p>
      <w:pPr>
        <w:pStyle w:val="Heading3"/>
        <w:spacing w:before="200" w:after="80"/>
      </w:pPr>
      <w:r>
        <w:rPr>
          <w:rFonts w:ascii="Arial" w:cs="Arial" w:eastAsia="Arial" w:hAnsi="Arial"/>
          <w:b/>
          <w:bCs/>
          <w:color w:val="1F2937"/>
          <w:sz w:val="24"/>
          <w:szCs w:val="24"/>
        </w:rPr>
        <w:t xml:space="preserve">Global System Integrators (GSIs)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GSI Partner</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FinServ Focus Areas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Accenture</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Retail banking, commercial banking, payments, specialty finance — strong thought leadership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Deloitte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Banking &amp; capital markets, insurance, investment management — heavy whitepaper/case study strategy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PwC</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Financial regulation, risk advisory, digital transformation in banking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Capgemini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Core banking modernization, open finance, BaaS implementation for European FIs</w:t>
            </w:r>
          </w:p>
        </w:tc>
      </w:tr>
    </w:tbl>
    <w:p>
      <w:pPr>
        <w:spacing w:before="0" w:after="80"/>
      </w:pPr>
    </w:p>
    <w:p>
      <w:pPr>
        <w:pStyle w:val="Heading3"/>
        <w:spacing w:before="200" w:after="80"/>
      </w:pPr>
      <w:r>
        <w:rPr>
          <w:rFonts w:ascii="Arial" w:cs="Arial" w:eastAsia="Arial" w:hAnsi="Arial"/>
          <w:b/>
          <w:bCs/>
          <w:color w:val="1F2937"/>
          <w:sz w:val="24"/>
          <w:szCs w:val="24"/>
        </w:rPr>
        <w:t xml:space="preserve">Regional / Industry-Specific SI Partners</w:t>
      </w:r>
    </w:p>
    <w:p>
      <w:pPr>
        <w:pStyle w:val="ListParagraph"/>
        <w:numPr>
          <w:ilvl w:val="0"/>
          <w:numId w:val="2"/>
        </w:numPr>
        <w:spacing w:before="40" w:after="40"/>
      </w:pPr>
      <w:r>
        <w:rPr>
          <w:rFonts w:ascii="Arial" w:cs="Arial" w:eastAsia="Arial" w:hAnsi="Arial"/>
          <w:b w:val="false"/>
          <w:bCs w:val="false"/>
          <w:sz w:val="22"/>
          <w:szCs w:val="22"/>
        </w:rPr>
        <w:t xml:space="preserve">API People — FinServ specialist; pre-built connectors to Fiserv, FIS, Jack Henry Silverlake, CIF2020, Symitar, and Synergy. Featured partner on Workato FinServ page.</w:t>
      </w:r>
    </w:p>
    <w:p>
      <w:pPr>
        <w:pStyle w:val="ListParagraph"/>
        <w:numPr>
          <w:ilvl w:val="0"/>
          <w:numId w:val="2"/>
        </w:numPr>
        <w:spacing w:before="40" w:after="40"/>
      </w:pPr>
      <w:r>
        <w:rPr>
          <w:rFonts w:ascii="Arial" w:cs="Arial" w:eastAsia="Arial" w:hAnsi="Arial"/>
          <w:b w:val="false"/>
          <w:bCs w:val="false"/>
          <w:sz w:val="22"/>
          <w:szCs w:val="22"/>
        </w:rPr>
        <w:t xml:space="preserve">Other regional SIs with deep core banking expertise should be identified and named per geo (EMEA, APAC, Americas).</w:t>
      </w:r>
    </w:p>
    <w:p>
      <w:pPr>
        <w:spacing w:before="40" w:after="40"/>
      </w:pPr>
      <w:r>
        <w:rPr>
          <w:rFonts w:ascii="Arial" w:cs="Arial" w:eastAsia="Arial" w:hAnsi="Arial"/>
          <w:color w:val="4B5563"/>
          <w:sz w:val="20"/>
          <w:szCs w:val="20"/>
        </w:rPr>
        <w:t xml:space="preserve">PMM Note — Partner Ecosystem: Add active regional SI partners by geography as they are onboarded. Accenture and Deloitte segments above are based on their public industry page messaging and are useful for competitive context (they are also GSI partners, not just competitors).</w:t>
      </w:r>
    </w:p>
    <w:p>
      <w:pPr>
        <w:spacing w:before="0" w:after="120"/>
      </w:pPr>
    </w:p>
    <w:p>
      <w:pPr>
        <w:pStyle w:val="Heading2"/>
        <w:spacing w:before="300" w:after="100"/>
      </w:pPr>
      <w:r>
        <w:rPr>
          <w:rFonts w:ascii="Arial" w:cs="Arial" w:eastAsia="Arial" w:hAnsi="Arial"/>
          <w:b/>
          <w:bCs/>
          <w:color w:val="007A7A"/>
          <w:sz w:val="28"/>
          <w:szCs w:val="28"/>
        </w:rPr>
        <w:t xml:space="preserve">6D. Workato Connector &amp; EMCP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Key Financial Services Connectors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Core Banking: Jack Henry (Silverlake, Symitar, CIF2020), Fiserv, FIS, Q2, Finastra, Corelation (via API People partnership)</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KYC/AML: Socure, Alloy, Personr, Jumio, Experian, Equifax</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ERP: Oracle, SAP, NetSuite, Coupa, Microsoft Dynamics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CRM: Salesforce (+ nCino for lending), HubSpot, Pipedrive, Dynamics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Data: Snowflake, Databricks, SQL Server, Redshift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ITSM: ServiceNow, Jira, Zendesk</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Payments: Stripe, Plaid, Marqeta, Paysafe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HR: Workday (all modules), ADP, BambooHR, UKG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AI Agents: Claude (Anthropic), ChatGPT (OpenAI), Cursor — accessible via Enterprise MCP</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7: Competitive Landscape (WSS-Aligned)</w:t>
      </w:r>
    </w:p>
    <w:p>
      <w:pPr>
        <w:pBdr>
          <w:bottom w:val="single" w:color="00B4B4" w:sz="6" w:space="1"/>
        </w:pBdr>
        <w:spacing w:before="80" w:after="80"/>
      </w:pPr>
    </w:p>
    <w:p>
      <w:pPr>
        <w:spacing w:before="40" w:after="40"/>
      </w:pPr>
      <w:r>
        <w:rPr>
          <w:rFonts w:ascii="Arial" w:cs="Arial" w:eastAsia="Arial" w:hAnsi="Arial"/>
          <w:color w:val="4B5563"/>
          <w:sz w:val="20"/>
          <w:szCs w:val="20"/>
        </w:rPr>
        <w:t xml:space="preserve">PMM Note — WSS Alignment: Chapter 7 is structured around the Workato Selling System (WSS) Value Drivers and Defensible Differentiators (SPEED, POWER, SCALE). Use this framework in all competitive positioning conversations. Trap-setting questions are designed to surface competitor weaknesses without naming them directly.</w:t>
      </w:r>
    </w:p>
    <w:p>
      <w:pPr>
        <w:spacing w:before="0" w:after="120"/>
      </w:pPr>
    </w:p>
    <w:p>
      <w:pPr>
        <w:pStyle w:val="Heading2"/>
        <w:spacing w:before="300" w:after="100"/>
      </w:pPr>
      <w:r>
        <w:rPr>
          <w:rFonts w:ascii="Arial" w:cs="Arial" w:eastAsia="Arial" w:hAnsi="Arial"/>
          <w:b/>
          <w:bCs/>
          <w:color w:val="007A7A"/>
          <w:sz w:val="28"/>
          <w:szCs w:val="28"/>
        </w:rPr>
        <w:t xml:space="preserve">7A. Competitive Positioning by Value Driver</w:t>
      </w:r>
    </w:p>
    <w:p>
      <w:pPr>
        <w:pStyle w:val="Heading3"/>
        <w:spacing w:before="200" w:after="80"/>
      </w:pPr>
      <w:r>
        <w:rPr>
          <w:rFonts w:ascii="Arial" w:cs="Arial" w:eastAsia="Arial" w:hAnsi="Arial"/>
          <w:b/>
          <w:bCs/>
          <w:color w:val="1F2937"/>
          <w:sz w:val="24"/>
          <w:szCs w:val="24"/>
        </w:rPr>
        <w:t xml:space="preserve">When Competing on Enterprise Agility</w:t>
      </w:r>
    </w:p>
    <w:p>
      <w:pPr>
        <w:spacing w:before="160" w:after="60"/>
      </w:pPr>
      <w:r>
        <w:rPr>
          <w:rFonts w:ascii="Arial" w:cs="Arial" w:eastAsia="Arial" w:hAnsi="Arial"/>
          <w:b/>
          <w:bCs/>
          <w:color w:val="4B5563"/>
          <w:sz w:val="22"/>
          <w:szCs w:val="22"/>
        </w:rPr>
        <w:t xml:space="preserve">vs. MuleSoft (Salesforce)</w:t>
      </w:r>
    </w:p>
    <w:p>
      <w:pPr>
        <w:spacing w:before="40" w:after="40"/>
      </w:pPr>
      <w:r>
        <w:rPr>
          <w:rFonts w:ascii="Arial" w:cs="Arial" w:eastAsia="Arial" w:hAnsi="Arial"/>
          <w:color w:val="4B5563"/>
          <w:sz w:val="20"/>
          <w:szCs w:val="20"/>
        </w:rPr>
        <w:t xml:space="preserve">Their Position: Developer-first, API-led connectivity. "Build the connected foundation for AI and agentic Financial Services." Heavy on banking, insurance, and wealth management segments.</w:t>
      </w:r>
    </w:p>
    <w:p>
      <w:pPr>
        <w:pStyle w:val="ListParagraph"/>
        <w:numPr>
          <w:ilvl w:val="0"/>
          <w:numId w:val="2"/>
        </w:numPr>
        <w:spacing w:before="40" w:after="40"/>
      </w:pPr>
      <w:r>
        <w:rPr>
          <w:rFonts w:ascii="Arial" w:cs="Arial" w:eastAsia="Arial" w:hAnsi="Arial"/>
          <w:b w:val="false"/>
          <w:bCs w:val="false"/>
          <w:sz w:val="22"/>
          <w:szCs w:val="22"/>
        </w:rPr>
        <w:t xml:space="preserve">Workato Counter: Business-led automation with AI; 10x faster deployment without specialized developers.</w:t>
      </w:r>
    </w:p>
    <w:p>
      <w:pPr>
        <w:pStyle w:val="ListParagraph"/>
        <w:numPr>
          <w:ilvl w:val="0"/>
          <w:numId w:val="2"/>
        </w:numPr>
        <w:spacing w:before="40" w:after="40"/>
      </w:pPr>
      <w:r>
        <w:rPr>
          <w:rFonts w:ascii="Arial" w:cs="Arial" w:eastAsia="Arial" w:hAnsi="Arial"/>
          <w:b w:val="false"/>
          <w:bCs w:val="false"/>
          <w:sz w:val="22"/>
          <w:szCs w:val="22"/>
        </w:rPr>
        <w:t xml:space="preserve">Trap-Setting Question: "How long does it take your business teams to get new integrations from IT after they submit a request?"</w:t>
      </w:r>
    </w:p>
    <w:p>
      <w:pPr>
        <w:pStyle w:val="ListParagraph"/>
        <w:numPr>
          <w:ilvl w:val="0"/>
          <w:numId w:val="2"/>
        </w:numPr>
        <w:spacing w:before="40" w:after="40"/>
      </w:pPr>
      <w:r>
        <w:rPr>
          <w:rFonts w:ascii="Arial" w:cs="Arial" w:eastAsia="Arial" w:hAnsi="Arial"/>
          <w:b w:val="false"/>
          <w:bCs w:val="false"/>
          <w:sz w:val="22"/>
          <w:szCs w:val="22"/>
        </w:rPr>
        <w:t xml:space="preserve">Differentiators: SPEED (Fast Build &amp; Delivery) + POWER (Enterprise MCP — MuleSoft does not have a comparable MCP offering)</w:t>
      </w:r>
    </w:p>
    <w:p>
      <w:pPr>
        <w:pStyle w:val="ListParagraph"/>
        <w:numPr>
          <w:ilvl w:val="0"/>
          <w:numId w:val="2"/>
        </w:numPr>
        <w:spacing w:before="40" w:after="40"/>
      </w:pPr>
      <w:r>
        <w:rPr>
          <w:rFonts w:ascii="Arial" w:cs="Arial" w:eastAsia="Arial" w:hAnsi="Arial"/>
          <w:b w:val="false"/>
          <w:bCs w:val="false"/>
          <w:sz w:val="22"/>
          <w:szCs w:val="22"/>
        </w:rPr>
        <w:t xml:space="preserve">Proof: Atlassian accelerated ERP transformation by 40% vs. legacy iPaaS.</w:t>
      </w:r>
    </w:p>
    <w:p>
      <w:pPr>
        <w:spacing w:before="0" w:after="80"/>
      </w:pPr>
    </w:p>
    <w:p>
      <w:pPr>
        <w:spacing w:before="160" w:after="60"/>
      </w:pPr>
      <w:r>
        <w:rPr>
          <w:rFonts w:ascii="Arial" w:cs="Arial" w:eastAsia="Arial" w:hAnsi="Arial"/>
          <w:b/>
          <w:bCs/>
          <w:color w:val="4B5563"/>
          <w:sz w:val="22"/>
          <w:szCs w:val="22"/>
        </w:rPr>
        <w:t xml:space="preserve">vs. Boomi</w:t>
      </w:r>
    </w:p>
    <w:p>
      <w:pPr>
        <w:spacing w:before="40" w:after="40"/>
      </w:pPr>
      <w:r>
        <w:rPr>
          <w:rFonts w:ascii="Arial" w:cs="Arial" w:eastAsia="Arial" w:hAnsi="Arial"/>
          <w:color w:val="4B5563"/>
          <w:sz w:val="20"/>
          <w:szCs w:val="20"/>
        </w:rPr>
        <w:t xml:space="preserve">Their Position: "Process automation for finance and insurance: Gain flexibility and speed to respond to market changes and protect against risk." Focus on FinTech integration solutions: technology modernization, data strategy, open finance, BaaS.</w:t>
      </w:r>
    </w:p>
    <w:p>
      <w:pPr>
        <w:pStyle w:val="ListParagraph"/>
        <w:numPr>
          <w:ilvl w:val="0"/>
          <w:numId w:val="2"/>
        </w:numPr>
        <w:spacing w:before="40" w:after="40"/>
      </w:pPr>
      <w:r>
        <w:rPr>
          <w:rFonts w:ascii="Arial" w:cs="Arial" w:eastAsia="Arial" w:hAnsi="Arial"/>
          <w:b w:val="false"/>
          <w:bCs w:val="false"/>
          <w:sz w:val="22"/>
          <w:szCs w:val="22"/>
        </w:rPr>
        <w:t xml:space="preserve">Workato Counter: Cloud-native AI orchestration, not bolt-on AI; Workato was built for agentic AI — Boomi is retrofitting.</w:t>
      </w:r>
    </w:p>
    <w:p>
      <w:pPr>
        <w:pStyle w:val="ListParagraph"/>
        <w:numPr>
          <w:ilvl w:val="0"/>
          <w:numId w:val="2"/>
        </w:numPr>
        <w:spacing w:before="40" w:after="40"/>
      </w:pPr>
      <w:r>
        <w:rPr>
          <w:rFonts w:ascii="Arial" w:cs="Arial" w:eastAsia="Arial" w:hAnsi="Arial"/>
          <w:b w:val="false"/>
          <w:bCs w:val="false"/>
          <w:sz w:val="22"/>
          <w:szCs w:val="22"/>
        </w:rPr>
        <w:t xml:space="preserve">Trap-Setting Question: "What happens when you need to scale during peak transaction periods — do you need to provision additional infrastructure in advance?"</w:t>
      </w:r>
    </w:p>
    <w:p>
      <w:pPr>
        <w:pStyle w:val="ListParagraph"/>
        <w:numPr>
          <w:ilvl w:val="0"/>
          <w:numId w:val="2"/>
        </w:numPr>
        <w:spacing w:before="40" w:after="40"/>
      </w:pPr>
      <w:r>
        <w:rPr>
          <w:rFonts w:ascii="Arial" w:cs="Arial" w:eastAsia="Arial" w:hAnsi="Arial"/>
          <w:b w:val="false"/>
          <w:bCs w:val="false"/>
          <w:sz w:val="22"/>
          <w:szCs w:val="22"/>
        </w:rPr>
        <w:t xml:space="preserve">Differentiators: SPEED (Cloud Native Autoscaling) + POWER (Agentic AI built-in, not bolted on)</w:t>
      </w:r>
    </w:p>
    <w:p>
      <w:pPr>
        <w:spacing w:before="0" w:after="80"/>
      </w:pPr>
    </w:p>
    <w:p>
      <w:pPr>
        <w:spacing w:before="160" w:after="60"/>
      </w:pPr>
      <w:r>
        <w:rPr>
          <w:rFonts w:ascii="Arial" w:cs="Arial" w:eastAsia="Arial" w:hAnsi="Arial"/>
          <w:b/>
          <w:bCs/>
          <w:color w:val="4B5563"/>
          <w:sz w:val="22"/>
          <w:szCs w:val="22"/>
        </w:rPr>
        <w:t xml:space="preserve">vs. UiPath</w:t>
      </w:r>
    </w:p>
    <w:p>
      <w:pPr>
        <w:spacing w:before="40" w:after="40"/>
      </w:pPr>
      <w:r>
        <w:rPr>
          <w:rFonts w:ascii="Arial" w:cs="Arial" w:eastAsia="Arial" w:hAnsi="Arial"/>
          <w:color w:val="4B5563"/>
          <w:sz w:val="20"/>
          <w:szCs w:val="20"/>
        </w:rPr>
        <w:t xml:space="preserve">Their Position: Emphasizing agentic AI for lending, KYC/AML, document processing, and client onboarding. Strong focus on RPA + AI for task-level automation.</w:t>
      </w:r>
    </w:p>
    <w:p>
      <w:pPr>
        <w:pStyle w:val="ListParagraph"/>
        <w:numPr>
          <w:ilvl w:val="0"/>
          <w:numId w:val="2"/>
        </w:numPr>
        <w:spacing w:before="40" w:after="40"/>
      </w:pPr>
      <w:r>
        <w:rPr>
          <w:rFonts w:ascii="Arial" w:cs="Arial" w:eastAsia="Arial" w:hAnsi="Arial"/>
          <w:b w:val="false"/>
          <w:bCs w:val="false"/>
          <w:sz w:val="22"/>
          <w:szCs w:val="22"/>
        </w:rPr>
        <w:t xml:space="preserve">Workato Counter: UiPath is task-level RPA with AI; Workato is enterprise-wide orchestration across systems, people, and AI agents.</w:t>
      </w:r>
    </w:p>
    <w:p>
      <w:pPr>
        <w:pStyle w:val="ListParagraph"/>
        <w:numPr>
          <w:ilvl w:val="0"/>
          <w:numId w:val="2"/>
        </w:numPr>
        <w:spacing w:before="40" w:after="40"/>
      </w:pPr>
      <w:r>
        <w:rPr>
          <w:rFonts w:ascii="Arial" w:cs="Arial" w:eastAsia="Arial" w:hAnsi="Arial"/>
          <w:b w:val="false"/>
          <w:bCs w:val="false"/>
          <w:sz w:val="22"/>
          <w:szCs w:val="22"/>
        </w:rPr>
        <w:t xml:space="preserve">Trap-Setting Question: "When your automation bots encounter an exception or need to interact with a system that changed its interface, what's the process to fix and redeploy?"</w:t>
      </w:r>
    </w:p>
    <w:p>
      <w:pPr>
        <w:pStyle w:val="ListParagraph"/>
        <w:numPr>
          <w:ilvl w:val="0"/>
          <w:numId w:val="2"/>
        </w:numPr>
        <w:spacing w:before="40" w:after="40"/>
      </w:pPr>
      <w:r>
        <w:rPr>
          <w:rFonts w:ascii="Arial" w:cs="Arial" w:eastAsia="Arial" w:hAnsi="Arial"/>
          <w:b w:val="false"/>
          <w:bCs w:val="false"/>
          <w:sz w:val="22"/>
          <w:szCs w:val="22"/>
        </w:rPr>
        <w:t xml:space="preserve">Differentiators: POWER (Enterprise orchestration vs. point automation) + SCALE (Federated Model vs. centralized RPA teams)</w:t>
      </w:r>
    </w:p>
    <w:p>
      <w:pPr>
        <w:spacing w:before="0" w:after="120"/>
      </w:pPr>
    </w:p>
    <w:p>
      <w:pPr>
        <w:pStyle w:val="Heading3"/>
        <w:spacing w:before="200" w:after="80"/>
      </w:pPr>
      <w:r>
        <w:rPr>
          <w:rFonts w:ascii="Arial" w:cs="Arial" w:eastAsia="Arial" w:hAnsi="Arial"/>
          <w:b/>
          <w:bCs/>
          <w:color w:val="1F2937"/>
          <w:sz w:val="24"/>
          <w:szCs w:val="24"/>
        </w:rPr>
        <w:t xml:space="preserve">When Competing on Efficiency &amp; OrCA</w:t>
      </w:r>
    </w:p>
    <w:p>
      <w:pPr>
        <w:spacing w:before="160" w:after="60"/>
      </w:pPr>
      <w:r>
        <w:rPr>
          <w:rFonts w:ascii="Arial" w:cs="Arial" w:eastAsia="Arial" w:hAnsi="Arial"/>
          <w:b/>
          <w:bCs/>
          <w:color w:val="4B5563"/>
          <w:sz w:val="22"/>
          <w:szCs w:val="22"/>
        </w:rPr>
        <w:t xml:space="preserve">vs. MuleSoft</w:t>
      </w:r>
    </w:p>
    <w:p>
      <w:pPr>
        <w:pStyle w:val="ListParagraph"/>
        <w:numPr>
          <w:ilvl w:val="0"/>
          <w:numId w:val="2"/>
        </w:numPr>
        <w:spacing w:before="40" w:after="40"/>
      </w:pPr>
      <w:r>
        <w:rPr>
          <w:rFonts w:ascii="Arial" w:cs="Arial" w:eastAsia="Arial" w:hAnsi="Arial"/>
          <w:b w:val="false"/>
          <w:bCs w:val="false"/>
          <w:sz w:val="22"/>
          <w:szCs w:val="22"/>
        </w:rPr>
        <w:t xml:space="preserve">Workato Counter: 40% lower TCO; consumption-based pricing vs. Mulesoft's flat-rate enterprise licensing.</w:t>
      </w:r>
    </w:p>
    <w:p>
      <w:pPr>
        <w:pStyle w:val="ListParagraph"/>
        <w:numPr>
          <w:ilvl w:val="0"/>
          <w:numId w:val="2"/>
        </w:numPr>
        <w:spacing w:before="40" w:after="40"/>
      </w:pPr>
      <w:r>
        <w:rPr>
          <w:rFonts w:ascii="Arial" w:cs="Arial" w:eastAsia="Arial" w:hAnsi="Arial"/>
          <w:b w:val="false"/>
          <w:bCs w:val="false"/>
          <w:sz w:val="22"/>
          <w:szCs w:val="22"/>
        </w:rPr>
        <w:t xml:space="preserve">Trap-Setting Question: "What's your current cost per integration, including infrastructure, licenses, and the specialized developer time required to maintain them?"</w:t>
      </w:r>
    </w:p>
    <w:p>
      <w:pPr>
        <w:pStyle w:val="ListParagraph"/>
        <w:numPr>
          <w:ilvl w:val="0"/>
          <w:numId w:val="2"/>
        </w:numPr>
        <w:spacing w:before="40" w:after="40"/>
      </w:pPr>
      <w:r>
        <w:rPr>
          <w:rFonts w:ascii="Arial" w:cs="Arial" w:eastAsia="Arial" w:hAnsi="Arial"/>
          <w:b w:val="false"/>
          <w:bCs w:val="false"/>
          <w:sz w:val="22"/>
          <w:szCs w:val="22"/>
        </w:rPr>
        <w:t xml:space="preserve">Differentiators: SCALE (OrCA — consumption-based pricing) + SPEED (Fast Build = lower services costs; no need for specialized MuleSoft developers)</w:t>
      </w:r>
    </w:p>
    <w:p>
      <w:pPr>
        <w:pStyle w:val="ListParagraph"/>
        <w:numPr>
          <w:ilvl w:val="0"/>
          <w:numId w:val="2"/>
        </w:numPr>
        <w:spacing w:before="40" w:after="40"/>
      </w:pPr>
      <w:r>
        <w:rPr>
          <w:rFonts w:ascii="Arial" w:cs="Arial" w:eastAsia="Arial" w:hAnsi="Arial"/>
          <w:b w:val="false"/>
          <w:bCs w:val="false"/>
          <w:sz w:val="22"/>
          <w:szCs w:val="22"/>
        </w:rPr>
        <w:t xml:space="preserve">Proof: $150K vs. $250K annually for 100 integrations (Workato vs. MuleSoft).</w:t>
      </w:r>
    </w:p>
    <w:p>
      <w:pPr>
        <w:spacing w:before="0" w:after="80"/>
      </w:pPr>
    </w:p>
    <w:p>
      <w:pPr>
        <w:spacing w:before="160" w:after="60"/>
      </w:pPr>
      <w:r>
        <w:rPr>
          <w:rFonts w:ascii="Arial" w:cs="Arial" w:eastAsia="Arial" w:hAnsi="Arial"/>
          <w:b/>
          <w:bCs/>
          <w:color w:val="4B5563"/>
          <w:sz w:val="22"/>
          <w:szCs w:val="22"/>
        </w:rPr>
        <w:t xml:space="preserve">vs. Build In-House</w:t>
      </w:r>
    </w:p>
    <w:p>
      <w:pPr>
        <w:pStyle w:val="ListParagraph"/>
        <w:numPr>
          <w:ilvl w:val="0"/>
          <w:numId w:val="2"/>
        </w:numPr>
        <w:spacing w:before="40" w:after="40"/>
      </w:pPr>
      <w:r>
        <w:rPr>
          <w:rFonts w:ascii="Arial" w:cs="Arial" w:eastAsia="Arial" w:hAnsi="Arial"/>
          <w:b w:val="false"/>
          <w:bCs w:val="false"/>
          <w:sz w:val="22"/>
          <w:szCs w:val="22"/>
        </w:rPr>
        <w:t xml:space="preserve">Workato Counter: Hidden costs of maintenance, technical debt, and opportunity cost of developer time.</w:t>
      </w:r>
    </w:p>
    <w:p>
      <w:pPr>
        <w:pStyle w:val="ListParagraph"/>
        <w:numPr>
          <w:ilvl w:val="0"/>
          <w:numId w:val="2"/>
        </w:numPr>
        <w:spacing w:before="40" w:after="40"/>
      </w:pPr>
      <w:r>
        <w:rPr>
          <w:rFonts w:ascii="Arial" w:cs="Arial" w:eastAsia="Arial" w:hAnsi="Arial"/>
          <w:b w:val="false"/>
          <w:bCs w:val="false"/>
          <w:sz w:val="22"/>
          <w:szCs w:val="22"/>
        </w:rPr>
        <w:t xml:space="preserve">Trap-Setting Question: "How many developers are dedicated to maintaining existing integration code versus building new capabilities?"</w:t>
      </w:r>
    </w:p>
    <w:p>
      <w:pPr>
        <w:pStyle w:val="ListParagraph"/>
        <w:numPr>
          <w:ilvl w:val="0"/>
          <w:numId w:val="2"/>
        </w:numPr>
        <w:spacing w:before="40" w:after="40"/>
      </w:pPr>
      <w:r>
        <w:rPr>
          <w:rFonts w:ascii="Arial" w:cs="Arial" w:eastAsia="Arial" w:hAnsi="Arial"/>
          <w:b w:val="false"/>
          <w:bCs w:val="false"/>
          <w:sz w:val="22"/>
          <w:szCs w:val="22"/>
        </w:rPr>
        <w:t xml:space="preserve">Differentiators: SCALE (Federated Model — business users build and maintain) + SPEED (Extensive Connectivity reduces build time by 10x)</w:t>
      </w:r>
    </w:p>
    <w:p>
      <w:pPr>
        <w:spacing w:before="0" w:after="120"/>
      </w:pPr>
    </w:p>
    <w:p>
      <w:pPr>
        <w:pStyle w:val="Heading3"/>
        <w:spacing w:before="200" w:after="80"/>
      </w:pPr>
      <w:r>
        <w:rPr>
          <w:rFonts w:ascii="Arial" w:cs="Arial" w:eastAsia="Arial" w:hAnsi="Arial"/>
          <w:b/>
          <w:bCs/>
          <w:color w:val="1F2937"/>
          <w:sz w:val="24"/>
          <w:szCs w:val="24"/>
        </w:rPr>
        <w:t xml:space="preserve">When Competing on Risk Reduction</w:t>
      </w:r>
    </w:p>
    <w:p>
      <w:pPr>
        <w:spacing w:before="160" w:after="60"/>
      </w:pPr>
      <w:r>
        <w:rPr>
          <w:rFonts w:ascii="Arial" w:cs="Arial" w:eastAsia="Arial" w:hAnsi="Arial"/>
          <w:b/>
          <w:bCs/>
          <w:color w:val="4B5563"/>
          <w:sz w:val="22"/>
          <w:szCs w:val="22"/>
        </w:rPr>
        <w:t xml:space="preserve">vs. MuleSoft / Boomi</w:t>
      </w:r>
    </w:p>
    <w:p>
      <w:pPr>
        <w:pStyle w:val="ListParagraph"/>
        <w:numPr>
          <w:ilvl w:val="0"/>
          <w:numId w:val="2"/>
        </w:numPr>
        <w:spacing w:before="40" w:after="40"/>
      </w:pPr>
      <w:r>
        <w:rPr>
          <w:rFonts w:ascii="Arial" w:cs="Arial" w:eastAsia="Arial" w:hAnsi="Arial"/>
          <w:b w:val="false"/>
          <w:bCs w:val="false"/>
          <w:sz w:val="22"/>
          <w:szCs w:val="22"/>
        </w:rPr>
        <w:t xml:space="preserve">Workato Counter: Zero downtime upgrades — no regression testing required, no planned maintenance windows that disrupt financial operations.</w:t>
      </w:r>
    </w:p>
    <w:p>
      <w:pPr>
        <w:pStyle w:val="ListParagraph"/>
        <w:numPr>
          <w:ilvl w:val="0"/>
          <w:numId w:val="2"/>
        </w:numPr>
        <w:spacing w:before="40" w:after="40"/>
      </w:pPr>
      <w:r>
        <w:rPr>
          <w:rFonts w:ascii="Arial" w:cs="Arial" w:eastAsia="Arial" w:hAnsi="Arial"/>
          <w:b w:val="false"/>
          <w:bCs w:val="false"/>
          <w:sz w:val="22"/>
          <w:szCs w:val="22"/>
        </w:rPr>
        <w:t xml:space="preserve">Trap-Setting Question: "How do planned platform upgrades impact your business planning and testing cycles? Do you have blackout windows around regulatory reporting or end-of-quarter close?"</w:t>
      </w:r>
    </w:p>
    <w:p>
      <w:pPr>
        <w:pStyle w:val="ListParagraph"/>
        <w:numPr>
          <w:ilvl w:val="0"/>
          <w:numId w:val="2"/>
        </w:numPr>
        <w:spacing w:before="40" w:after="40"/>
      </w:pPr>
      <w:r>
        <w:rPr>
          <w:rFonts w:ascii="Arial" w:cs="Arial" w:eastAsia="Arial" w:hAnsi="Arial"/>
          <w:b w:val="false"/>
          <w:bCs w:val="false"/>
          <w:sz w:val="22"/>
          <w:szCs w:val="22"/>
        </w:rPr>
        <w:t xml:space="preserve">Differentiators: POWER (Zero Downtime Upgrades, Enterprise Security &amp; Compliance) + SCALE (Governance at enterprise scale)</w:t>
      </w:r>
    </w:p>
    <w:p>
      <w:pPr>
        <w:spacing w:before="0" w:after="80"/>
      </w:pPr>
    </w:p>
    <w:p>
      <w:pPr>
        <w:spacing w:before="160" w:after="60"/>
      </w:pPr>
      <w:r>
        <w:rPr>
          <w:rFonts w:ascii="Arial" w:cs="Arial" w:eastAsia="Arial" w:hAnsi="Arial"/>
          <w:b/>
          <w:bCs/>
          <w:color w:val="4B5563"/>
          <w:sz w:val="22"/>
          <w:szCs w:val="22"/>
        </w:rPr>
        <w:t xml:space="preserve">vs. New Entrants (n8n, Zapier, Make)</w:t>
      </w:r>
    </w:p>
    <w:p>
      <w:pPr>
        <w:pStyle w:val="ListParagraph"/>
        <w:numPr>
          <w:ilvl w:val="0"/>
          <w:numId w:val="2"/>
        </w:numPr>
        <w:spacing w:before="40" w:after="40"/>
      </w:pPr>
      <w:r>
        <w:rPr>
          <w:rFonts w:ascii="Arial" w:cs="Arial" w:eastAsia="Arial" w:hAnsi="Arial"/>
          <w:b w:val="false"/>
          <w:bCs w:val="false"/>
          <w:sz w:val="22"/>
          <w:szCs w:val="22"/>
        </w:rPr>
        <w:t xml:space="preserve">Workato Counter: Enterprise-grade security certifications (SOC 2, GDPR), global data residency, and 24/7 customer support — essential for regulated financial institutions.</w:t>
      </w:r>
    </w:p>
    <w:p>
      <w:pPr>
        <w:pStyle w:val="ListParagraph"/>
        <w:numPr>
          <w:ilvl w:val="0"/>
          <w:numId w:val="2"/>
        </w:numPr>
        <w:spacing w:before="40" w:after="40"/>
      </w:pPr>
      <w:r>
        <w:rPr>
          <w:rFonts w:ascii="Arial" w:cs="Arial" w:eastAsia="Arial" w:hAnsi="Arial"/>
          <w:b w:val="false"/>
          <w:bCs w:val="false"/>
          <w:sz w:val="22"/>
          <w:szCs w:val="22"/>
        </w:rPr>
        <w:t xml:space="preserve">Trap-Setting Question: "What certifications and compliance controls does your current solution have? What happens if your integration platform is breached — what's your audit trail?"</w:t>
      </w:r>
    </w:p>
    <w:p>
      <w:pPr>
        <w:pStyle w:val="ListParagraph"/>
        <w:numPr>
          <w:ilvl w:val="0"/>
          <w:numId w:val="2"/>
        </w:numPr>
        <w:spacing w:before="40" w:after="40"/>
      </w:pPr>
      <w:r>
        <w:rPr>
          <w:rFonts w:ascii="Arial" w:cs="Arial" w:eastAsia="Arial" w:hAnsi="Arial"/>
          <w:b w:val="false"/>
          <w:bCs w:val="false"/>
          <w:sz w:val="22"/>
          <w:szCs w:val="22"/>
        </w:rPr>
        <w:t xml:space="preserve">Differentiators: POWER (Enterprise Security: SOC 2, GDPR, data residency) + Global footprint with local instances (UK, Japan)</w:t>
      </w:r>
    </w:p>
    <w:p>
      <w:pPr>
        <w:spacing w:before="0" w:after="120"/>
      </w:pPr>
    </w:p>
    <w:p>
      <w:pPr>
        <w:pStyle w:val="Heading2"/>
        <w:spacing w:before="300" w:after="100"/>
      </w:pPr>
      <w:r>
        <w:rPr>
          <w:rFonts w:ascii="Arial" w:cs="Arial" w:eastAsia="Arial" w:hAnsi="Arial"/>
          <w:b/>
          <w:bCs/>
          <w:color w:val="007A7A"/>
          <w:sz w:val="28"/>
          <w:szCs w:val="28"/>
        </w:rPr>
        <w:t xml:space="preserve">7B. Workato Competitive Advantages in FinServ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Advantage</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Why It Matters in Financial Services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Universal Connectivity to Core Banking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Only platform with API People partnership covering Jack Henry, Fiserv, FIS — the systems competitors struggle to connect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MCP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No comparable offering from MuleSoft, Boomi, or UiPath — first-mover advantage for agentic AI in regulated industries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On-Prem Agent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Enables hybrid cloud/on-prem architectures required by most traditional FIs — cloud-only competitors cannot serve this need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Low-Code / Citizen Builder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Smaller community banks and credit unions with limited dev teams can operate Workato independently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Auto-Scaling (OrCA)</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No capacity planning required — critical for FinTechs scaling rapidly and FIs with variable transaction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Scalable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Differentiates from Microsoft, Oracle, SAP flat-rate enterprise licensing — especially valuable for growing FinTechs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24/7 Customer Support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Non-negotiable in highly-regulated industry with sensitive assets and SLA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Global Data Residency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UK, Japan, and expanding — required for GDPR compliance and international FI operations</w:t>
            </w:r>
          </w:p>
        </w:tc>
      </w:tr>
    </w:tbl>
    <w:p>
      <w:pPr>
        <w:spacing w:before="0" w:after="80"/>
      </w:pPr>
    </w:p>
    <w:p>
      <w:pPr>
        <w:pStyle w:val="Heading2"/>
        <w:spacing w:before="300" w:after="100"/>
      </w:pPr>
      <w:r>
        <w:rPr>
          <w:rFonts w:ascii="Arial" w:cs="Arial" w:eastAsia="Arial" w:hAnsi="Arial"/>
          <w:b/>
          <w:bCs/>
          <w:color w:val="007A7A"/>
          <w:sz w:val="28"/>
          <w:szCs w:val="28"/>
        </w:rPr>
        <w:t xml:space="preserve">7C. Competitive Weaknesses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Weakness</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Mitigation</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Cloud-only (no true on-prem)</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Virtual/on-prem agent provides connectivity to on-prem systems; position as hybrid architecture advantage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Less brand awareness vs. MuleSoft in enterprise banking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Lead with customer proof (Nasdaq, Voya, Fidelity) and analyst recognition; let results speak</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Smaller professional services organization</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GSI partnerships (Accenture, Deloitte, API People) fill this gap; position as advantage (lower services dependency)</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8: Customer Proof &amp; References</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8A. Approved Customer Logos</w:t>
      </w:r>
    </w:p>
    <w:p>
      <w:pPr>
        <w:spacing w:before="160" w:after="60"/>
      </w:pPr>
      <w:r>
        <w:rPr>
          <w:rFonts w:ascii="Arial" w:cs="Arial" w:eastAsia="Arial" w:hAnsi="Arial"/>
          <w:b/>
          <w:bCs/>
          <w:color w:val="4B5563"/>
          <w:sz w:val="22"/>
          <w:szCs w:val="22"/>
        </w:rPr>
        <w:t xml:space="preserve">Primary Logos (Approved for External Use)</w:t>
      </w:r>
    </w:p>
    <w:p>
      <w:pPr>
        <w:pStyle w:val="ListParagraph"/>
        <w:numPr>
          <w:ilvl w:val="0"/>
          <w:numId w:val="2"/>
        </w:numPr>
        <w:spacing w:before="40" w:after="40"/>
      </w:pPr>
      <w:r>
        <w:rPr>
          <w:rFonts w:ascii="Arial" w:cs="Arial" w:eastAsia="Arial" w:hAnsi="Arial"/>
          <w:b w:val="false"/>
          <w:bCs w:val="false"/>
          <w:sz w:val="22"/>
          <w:szCs w:val="22"/>
        </w:rPr>
        <w:t xml:space="preserve">Nasdaq, Northwestern Mutual, Credit Karma, Intuit, BNY Mellon, Bread Financial, Brookfield Asset Management, Paysafe, Helia, Marqueta, Novatti</w:t>
      </w:r>
    </w:p>
    <w:p>
      <w:pPr>
        <w:spacing w:before="40" w:after="40"/>
      </w:pPr>
      <w:r>
        <w:rPr>
          <w:rFonts w:ascii="Arial" w:cs="Arial" w:eastAsia="Arial" w:hAnsi="Arial"/>
          <w:color w:val="4B5563"/>
          <w:sz w:val="20"/>
          <w:szCs w:val="20"/>
        </w:rPr>
        <w:t xml:space="preserve">Additional logos to confirm with Nicole/Ben: Coinbase, Voya, Lemonade, Novuna, Revolut, Visa, Ramp (per FinServ Page content deck).</w:t>
      </w:r>
    </w:p>
    <w:p>
      <w:pPr>
        <w:spacing w:before="0" w:after="120"/>
      </w:pPr>
    </w:p>
    <w:p>
      <w:pPr>
        <w:pStyle w:val="Heading2"/>
        <w:spacing w:before="300" w:after="100"/>
      </w:pPr>
      <w:r>
        <w:rPr>
          <w:rFonts w:ascii="Arial" w:cs="Arial" w:eastAsia="Arial" w:hAnsi="Arial"/>
          <w:b/>
          <w:bCs/>
          <w:color w:val="007A7A"/>
          <w:sz w:val="28"/>
          <w:szCs w:val="28"/>
        </w:rPr>
        <w:t xml:space="preserve">8B. Approved Customer Quotes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B4" w:sz="1"/>
              <w:left w:val="single" w:color="00B4B4" w:sz="12"/>
              <w:bottom w:val="single" w:color="00B4B4" w:sz="1"/>
              <w:right w:val="single" w:color="CCCCCC" w:sz="1"/>
            </w:tcBorders>
            <w:shd w:fill="E6F9F9" w:val="clear"/>
            <w:tcMar>
              <w:top w:type="dxa" w:w="140"/>
              <w:left w:type="dxa" w:w="240"/>
              <w:bottom w:type="dxa" w:w="140"/>
              <w:right w:type="dxa" w:w="240"/>
            </w:tcMar>
          </w:tcPr>
          <w:p>
            <w:pPr>
              <w:spacing w:before="0" w:after="80"/>
            </w:pPr>
            <w:r>
              <w:rPr>
                <w:rFonts w:ascii="Arial" w:cs="Arial" w:eastAsia="Arial" w:hAnsi="Arial"/>
                <w:color w:val="1F2937"/>
                <w:sz w:val="22"/>
                <w:szCs w:val="22"/>
              </w:rPr>
              <w:t xml:space="preserve">“MCP is the universal bridge between AI and enterprise action — unlocking secure, governed, and instant access to business capabilities. Workato is leading the charge in MCP by creating a standard for organizations to turn their systems, data, and processes into AI-ready services with limitless innovation.”</w:t>
            </w:r>
          </w:p>
          <w:p>
            <w:r>
              <w:rPr>
                <w:rFonts w:ascii="Arial" w:cs="Arial" w:eastAsia="Arial" w:hAnsi="Arial"/>
                <w:b/>
                <w:bCs/>
                <w:color w:val="007A7A"/>
                <w:sz w:val="20"/>
                <w:szCs w:val="20"/>
              </w:rPr>
              <w:t xml:space="preserve">— Angela Stewart, VP of Enterprise Solutions, Nasdaq</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B4" w:sz="1"/>
              <w:left w:val="single" w:color="00B4B4" w:sz="12"/>
              <w:bottom w:val="single" w:color="00B4B4" w:sz="1"/>
              <w:right w:val="single" w:color="CCCCCC" w:sz="1"/>
            </w:tcBorders>
            <w:shd w:fill="E6F9F9" w:val="clear"/>
            <w:tcMar>
              <w:top w:type="dxa" w:w="140"/>
              <w:left w:type="dxa" w:w="240"/>
              <w:bottom w:type="dxa" w:w="140"/>
              <w:right w:type="dxa" w:w="240"/>
            </w:tcMar>
          </w:tcPr>
          <w:p>
            <w:pPr>
              <w:spacing w:before="0" w:after="80"/>
            </w:pPr>
            <w:r>
              <w:rPr>
                <w:rFonts w:ascii="Arial" w:cs="Arial" w:eastAsia="Arial" w:hAnsi="Arial"/>
                <w:color w:val="1F2937"/>
                <w:sz w:val="22"/>
                <w:szCs w:val="22"/>
              </w:rPr>
              <w:t xml:space="preserve">“With Workato, we're able to acquire customers in minutes, transforming the way we expand our customer acquisition channels and grow our business.”</w:t>
            </w:r>
          </w:p>
          <w:p>
            <w:r>
              <w:rPr>
                <w:rFonts w:ascii="Arial" w:cs="Arial" w:eastAsia="Arial" w:hAnsi="Arial"/>
                <w:b/>
                <w:bCs/>
                <w:color w:val="007A7A"/>
                <w:sz w:val="20"/>
                <w:szCs w:val="20"/>
              </w:rPr>
              <w:t xml:space="preserve">— Kristin Fretz, Director of RevOps, Bread Financial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B4" w:sz="1"/>
              <w:left w:val="single" w:color="00B4B4" w:sz="12"/>
              <w:bottom w:val="single" w:color="00B4B4" w:sz="1"/>
              <w:right w:val="single" w:color="CCCCCC" w:sz="1"/>
            </w:tcBorders>
            <w:shd w:fill="E6F9F9" w:val="clear"/>
            <w:tcMar>
              <w:top w:type="dxa" w:w="140"/>
              <w:left w:type="dxa" w:w="240"/>
              <w:bottom w:type="dxa" w:w="140"/>
              <w:right w:type="dxa" w:w="240"/>
            </w:tcMar>
          </w:tcPr>
          <w:p>
            <w:pPr>
              <w:spacing w:before="0" w:after="80"/>
            </w:pPr>
            <w:r>
              <w:rPr>
                <w:rFonts w:ascii="Arial" w:cs="Arial" w:eastAsia="Arial" w:hAnsi="Arial"/>
                <w:color w:val="1F2937"/>
                <w:sz w:val="22"/>
                <w:szCs w:val="22"/>
              </w:rPr>
              <w:t xml:space="preserve">“With Workato automating our workflow and reducing wait times, we are able to offer funding in as little as 1 day, versus going through a bank where it can possibly take months to get funded.”</w:t>
            </w:r>
          </w:p>
          <w:p>
            <w:r>
              <w:rPr>
                <w:rFonts w:ascii="Arial" w:cs="Arial" w:eastAsia="Arial" w:hAnsi="Arial"/>
                <w:b/>
                <w:bCs/>
                <w:color w:val="007A7A"/>
                <w:sz w:val="20"/>
                <w:szCs w:val="20"/>
              </w:rPr>
              <w:t xml:space="preserve">— Deidre Jones, Application Technology Manager, PaySafe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B4" w:sz="1"/>
              <w:left w:val="single" w:color="00B4B4" w:sz="12"/>
              <w:bottom w:val="single" w:color="00B4B4" w:sz="1"/>
              <w:right w:val="single" w:color="CCCCCC" w:sz="1"/>
            </w:tcBorders>
            <w:shd w:fill="E6F9F9" w:val="clear"/>
            <w:tcMar>
              <w:top w:type="dxa" w:w="140"/>
              <w:left w:type="dxa" w:w="240"/>
              <w:bottom w:type="dxa" w:w="140"/>
              <w:right w:type="dxa" w:w="240"/>
            </w:tcMar>
          </w:tcPr>
          <w:p>
            <w:pPr>
              <w:spacing w:before="0" w:after="80"/>
            </w:pPr>
            <w:r>
              <w:rPr>
                <w:rFonts w:ascii="Arial" w:cs="Arial" w:eastAsia="Arial" w:hAnsi="Arial"/>
                <w:color w:val="1F2937"/>
                <w:sz w:val="22"/>
                <w:szCs w:val="22"/>
              </w:rPr>
              <w:t xml:space="preserve">“Workato was pivotal in helping us enhance our customer experience offering. They moved quickly, deployed quickly, listened to Helia at every step of the way, and strived for perfection. The Workato team actively sought out product feedback, demonstrating exceptional customer-centricity in building new functionalities we needed.”</w:t>
            </w:r>
          </w:p>
          <w:p>
            <w:r>
              <w:rPr>
                <w:rFonts w:ascii="Arial" w:cs="Arial" w:eastAsia="Arial" w:hAnsi="Arial"/>
                <w:b/>
                <w:bCs/>
                <w:color w:val="007A7A"/>
                <w:sz w:val="20"/>
                <w:szCs w:val="20"/>
              </w:rPr>
              <w:t xml:space="preserve">— Neil Rodgers, Digital Solutions Director, Helia</w:t>
            </w:r>
          </w:p>
        </w:tc>
      </w:tr>
    </w:tbl>
    <w:p>
      <w:pPr>
        <w:spacing w:before="0" w:after="120"/>
      </w:pPr>
    </w:p>
    <w:p>
      <w:pPr>
        <w:pStyle w:val="Heading2"/>
        <w:spacing w:before="300" w:after="100"/>
      </w:pPr>
      <w:r>
        <w:rPr>
          <w:rFonts w:ascii="Arial" w:cs="Arial" w:eastAsia="Arial" w:hAnsi="Arial"/>
          <w:b/>
          <w:bCs/>
          <w:color w:val="007A7A"/>
          <w:sz w:val="28"/>
          <w:szCs w:val="28"/>
        </w:rPr>
        <w:t xml:space="preserve">8C. Case Studies &amp; Success Stories by Sub-Vertical</w:t>
      </w:r>
    </w:p>
    <w:p>
      <w:pPr>
        <w:pStyle w:val="Heading3"/>
        <w:spacing w:before="200" w:after="80"/>
      </w:pPr>
      <w:r>
        <w:rPr>
          <w:rFonts w:ascii="Arial" w:cs="Arial" w:eastAsia="Arial" w:hAnsi="Arial"/>
          <w:b/>
          <w:bCs/>
          <w:color w:val="1F2937"/>
          <w:sz w:val="24"/>
          <w:szCs w:val="24"/>
        </w:rPr>
        <w:t xml:space="preserve">FinTech / Digital-First</w:t>
      </w:r>
    </w:p>
    <w:p>
      <w:pPr>
        <w:pStyle w:val="ListParagraph"/>
        <w:numPr>
          <w:ilvl w:val="0"/>
          <w:numId w:val="2"/>
        </w:numPr>
        <w:spacing w:before="40" w:after="40"/>
      </w:pPr>
      <w:r>
        <w:rPr>
          <w:rFonts w:ascii="Arial" w:cs="Arial" w:eastAsia="Arial" w:hAnsi="Arial"/>
          <w:b w:val="false"/>
          <w:bCs w:val="false"/>
          <w:sz w:val="22"/>
          <w:szCs w:val="22"/>
        </w:rPr>
        <w:t xml:space="preserve">Bread Financial: 84% reduction in merchant acquisition timeline; eliminated 30 min/customer manual data entry; enhanced scalability via Salesforce + DocuSign orchestration.</w:t>
      </w:r>
    </w:p>
    <w:p>
      <w:pPr>
        <w:pStyle w:val="ListParagraph"/>
        <w:numPr>
          <w:ilvl w:val="0"/>
          <w:numId w:val="2"/>
        </w:numPr>
        <w:spacing w:before="40" w:after="40"/>
      </w:pPr>
      <w:r>
        <w:rPr>
          <w:rFonts w:ascii="Arial" w:cs="Arial" w:eastAsia="Arial" w:hAnsi="Arial"/>
          <w:b w:val="false"/>
          <w:bCs w:val="false"/>
          <w:sz w:val="22"/>
          <w:szCs w:val="22"/>
        </w:rPr>
        <w:t xml:space="preserve">Ramp: 97% reduction in time to generate opportunities; 80% decrease in L1 tickets; 12x faster debugging. Transformed 150-step Node.js process into 25-step SQL workflow.</w:t>
      </w:r>
    </w:p>
    <w:p>
      <w:pPr>
        <w:pStyle w:val="ListParagraph"/>
        <w:numPr>
          <w:ilvl w:val="0"/>
          <w:numId w:val="2"/>
        </w:numPr>
        <w:spacing w:before="40" w:after="40"/>
      </w:pPr>
      <w:r>
        <w:rPr>
          <w:rFonts w:ascii="Arial" w:cs="Arial" w:eastAsia="Arial" w:hAnsi="Arial"/>
          <w:b w:val="false"/>
          <w:bCs w:val="false"/>
          <w:sz w:val="22"/>
          <w:szCs w:val="22"/>
        </w:rPr>
        <w:t xml:space="preserve">Novatti: Merchant onboarding reduced from months to less than 5 minutes; 15 systems integrated across Sales, Risk, Legal, Support, and Payments Platform.</w:t>
      </w:r>
    </w:p>
    <w:p>
      <w:pPr>
        <w:pStyle w:val="ListParagraph"/>
        <w:numPr>
          <w:ilvl w:val="0"/>
          <w:numId w:val="2"/>
        </w:numPr>
        <w:spacing w:before="40" w:after="40"/>
      </w:pPr>
      <w:r>
        <w:rPr>
          <w:rFonts w:ascii="Arial" w:cs="Arial" w:eastAsia="Arial" w:hAnsi="Arial"/>
          <w:b w:val="false"/>
          <w:bCs w:val="false"/>
          <w:sz w:val="22"/>
          <w:szCs w:val="22"/>
        </w:rPr>
        <w:t xml:space="preserve">Fundbox: Improved sales productivity by 20%; efficiently scaled by automating data flows (video case study available).</w:t>
      </w:r>
    </w:p>
    <w:p>
      <w:pPr>
        <w:pStyle w:val="ListParagraph"/>
        <w:numPr>
          <w:ilvl w:val="0"/>
          <w:numId w:val="2"/>
        </w:numPr>
        <w:spacing w:before="40" w:after="40"/>
      </w:pPr>
      <w:r>
        <w:rPr>
          <w:rFonts w:ascii="Arial" w:cs="Arial" w:eastAsia="Arial" w:hAnsi="Arial"/>
          <w:b w:val="false"/>
          <w:bCs w:val="false"/>
          <w:sz w:val="22"/>
          <w:szCs w:val="22"/>
        </w:rPr>
        <w:t xml:space="preserve">Pagaya, Lightbulb Credit, Affirm, Revolut, Synchrony: Internal use cases available — confirm approval status before external use.</w:t>
      </w:r>
    </w:p>
    <w:p>
      <w:pPr>
        <w:spacing w:before="0" w:after="120"/>
      </w:pPr>
    </w:p>
    <w:p>
      <w:pPr>
        <w:pStyle w:val="Heading3"/>
        <w:spacing w:before="200" w:after="80"/>
      </w:pPr>
      <w:r>
        <w:rPr>
          <w:rFonts w:ascii="Arial" w:cs="Arial" w:eastAsia="Arial" w:hAnsi="Arial"/>
          <w:b/>
          <w:bCs/>
          <w:color w:val="1F2937"/>
          <w:sz w:val="24"/>
          <w:szCs w:val="24"/>
        </w:rPr>
        <w:t xml:space="preserve">Traditional Banking</w:t>
      </w:r>
    </w:p>
    <w:p>
      <w:pPr>
        <w:pStyle w:val="ListParagraph"/>
        <w:numPr>
          <w:ilvl w:val="0"/>
          <w:numId w:val="2"/>
        </w:numPr>
        <w:spacing w:before="40" w:after="40"/>
      </w:pPr>
      <w:r>
        <w:rPr>
          <w:rFonts w:ascii="Arial" w:cs="Arial" w:eastAsia="Arial" w:hAnsi="Arial"/>
          <w:b w:val="false"/>
          <w:bCs w:val="false"/>
          <w:sz w:val="22"/>
          <w:szCs w:val="22"/>
        </w:rPr>
        <w:t xml:space="preserve">Voya Financial: 1,000+ recipes in production across 5 teams (data warehouse, ITSM, sales/marketing, finance); Azure cloud migration; 70%+ systems connected via on-prem agent.</w:t>
      </w:r>
    </w:p>
    <w:p>
      <w:pPr>
        <w:pStyle w:val="ListParagraph"/>
        <w:numPr>
          <w:ilvl w:val="0"/>
          <w:numId w:val="2"/>
        </w:numPr>
        <w:spacing w:before="40" w:after="40"/>
      </w:pPr>
      <w:r>
        <w:rPr>
          <w:rFonts w:ascii="Arial" w:cs="Arial" w:eastAsia="Arial" w:hAnsi="Arial"/>
          <w:b w:val="false"/>
          <w:bCs w:val="false"/>
          <w:sz w:val="22"/>
          <w:szCs w:val="22"/>
        </w:rPr>
        <w:t xml:space="preserve">Harris Williams: ERP transition.</w:t>
      </w:r>
    </w:p>
    <w:p>
      <w:pPr>
        <w:pStyle w:val="ListParagraph"/>
        <w:numPr>
          <w:ilvl w:val="0"/>
          <w:numId w:val="2"/>
        </w:numPr>
        <w:spacing w:before="40" w:after="40"/>
      </w:pPr>
      <w:r>
        <w:rPr>
          <w:rFonts w:ascii="Arial" w:cs="Arial" w:eastAsia="Arial" w:hAnsi="Arial"/>
          <w:b w:val="false"/>
          <w:bCs w:val="false"/>
          <w:sz w:val="22"/>
          <w:szCs w:val="22"/>
        </w:rPr>
        <w:t xml:space="preserve">VIP Mortgage: HR line-of-business automation; Snowflake ETL to ELT modernization.</w:t>
      </w:r>
    </w:p>
    <w:p>
      <w:pPr>
        <w:spacing w:before="40" w:after="40"/>
      </w:pPr>
      <w:r>
        <w:rPr>
          <w:rFonts w:ascii="Arial" w:cs="Arial" w:eastAsia="Arial" w:hAnsi="Arial"/>
          <w:color w:val="4B5563"/>
          <w:sz w:val="20"/>
          <w:szCs w:val="20"/>
        </w:rPr>
        <w:t xml:space="preserve">Note: Fortis Bank case study TBD — confirm approval timeline with legal/customer marketing.</w:t>
      </w:r>
    </w:p>
    <w:p>
      <w:pPr>
        <w:spacing w:before="0" w:after="120"/>
      </w:pPr>
    </w:p>
    <w:p>
      <w:pPr>
        <w:pStyle w:val="Heading3"/>
        <w:spacing w:before="200" w:after="80"/>
      </w:pPr>
      <w:r>
        <w:rPr>
          <w:rFonts w:ascii="Arial" w:cs="Arial" w:eastAsia="Arial" w:hAnsi="Arial"/>
          <w:b/>
          <w:bCs/>
          <w:color w:val="1F2937"/>
          <w:sz w:val="24"/>
          <w:szCs w:val="24"/>
        </w:rPr>
        <w:t xml:space="preserve">Wealth &amp; Asset Management</w:t>
      </w:r>
    </w:p>
    <w:p>
      <w:pPr>
        <w:pStyle w:val="ListParagraph"/>
        <w:numPr>
          <w:ilvl w:val="0"/>
          <w:numId w:val="2"/>
        </w:numPr>
        <w:spacing w:before="40" w:after="40"/>
      </w:pPr>
      <w:r>
        <w:rPr>
          <w:rFonts w:ascii="Arial" w:cs="Arial" w:eastAsia="Arial" w:hAnsi="Arial"/>
          <w:b w:val="false"/>
          <w:bCs w:val="false"/>
          <w:sz w:val="22"/>
          <w:szCs w:val="22"/>
        </w:rPr>
        <w:t xml:space="preserve">Fidelity: Aprimo marketing campaign automation; $90K immediate cost savings from automated site creation workflows eliminating manual processes.</w:t>
      </w:r>
    </w:p>
    <w:p>
      <w:pPr>
        <w:pStyle w:val="ListParagraph"/>
        <w:numPr>
          <w:ilvl w:val="0"/>
          <w:numId w:val="2"/>
        </w:numPr>
        <w:spacing w:before="40" w:after="40"/>
      </w:pPr>
      <w:r>
        <w:rPr>
          <w:rFonts w:ascii="Arial" w:cs="Arial" w:eastAsia="Arial" w:hAnsi="Arial"/>
          <w:b w:val="false"/>
          <w:bCs w:val="false"/>
          <w:sz w:val="22"/>
          <w:szCs w:val="22"/>
        </w:rPr>
        <w:t xml:space="preserve">Brookfield Asset Management: Real-time sync between disparate enterprise apps and newly-acquired companies — critical post-M&amp;A integration use case.</w:t>
      </w:r>
    </w:p>
    <w:p>
      <w:pPr>
        <w:pStyle w:val="ListParagraph"/>
        <w:numPr>
          <w:ilvl w:val="0"/>
          <w:numId w:val="2"/>
        </w:numPr>
        <w:spacing w:before="40" w:after="40"/>
      </w:pPr>
      <w:r>
        <w:rPr>
          <w:rFonts w:ascii="Arial" w:cs="Arial" w:eastAsia="Arial" w:hAnsi="Arial"/>
          <w:b w:val="false"/>
          <w:bCs w:val="false"/>
          <w:sz w:val="22"/>
          <w:szCs w:val="22"/>
        </w:rPr>
        <w:t xml:space="preserve">Man Group: Workday integration (all modules); JML lifecycle management; AI/NLP help desk triage; AI orchestration with Python/LLMs; DevOps CI/CD; Salesforce enablement.</w:t>
      </w:r>
    </w:p>
    <w:p>
      <w:pPr>
        <w:pStyle w:val="ListParagraph"/>
        <w:numPr>
          <w:ilvl w:val="0"/>
          <w:numId w:val="2"/>
        </w:numPr>
        <w:spacing w:before="40" w:after="40"/>
      </w:pPr>
      <w:r>
        <w:rPr>
          <w:rFonts w:ascii="Arial" w:cs="Arial" w:eastAsia="Arial" w:hAnsi="Arial"/>
          <w:b w:val="false"/>
          <w:bCs w:val="false"/>
          <w:sz w:val="22"/>
          <w:szCs w:val="22"/>
        </w:rPr>
        <w:t xml:space="preserve">Edelman Financial: Access controls, security protocols, CRM to ERP, automated report generation.</w:t>
      </w:r>
    </w:p>
    <w:p>
      <w:pPr>
        <w:pStyle w:val="ListParagraph"/>
        <w:numPr>
          <w:ilvl w:val="0"/>
          <w:numId w:val="2"/>
        </w:numPr>
        <w:spacing w:before="40" w:after="40"/>
      </w:pPr>
      <w:r>
        <w:rPr>
          <w:rFonts w:ascii="Arial" w:cs="Arial" w:eastAsia="Arial" w:hAnsi="Arial"/>
          <w:b w:val="false"/>
          <w:bCs w:val="false"/>
          <w:sz w:val="22"/>
          <w:szCs w:val="22"/>
        </w:rPr>
        <w:t xml:space="preserve">EQT, Altus Financial, William Buck: Case studies available — confirm approval status.</w:t>
      </w:r>
    </w:p>
    <w:p>
      <w:pPr>
        <w:spacing w:before="0" w:after="120"/>
      </w:pPr>
    </w:p>
    <w:p>
      <w:pPr>
        <w:pStyle w:val="Heading3"/>
        <w:spacing w:before="200" w:after="80"/>
      </w:pPr>
      <w:r>
        <w:rPr>
          <w:rFonts w:ascii="Arial" w:cs="Arial" w:eastAsia="Arial" w:hAnsi="Arial"/>
          <w:b/>
          <w:bCs/>
          <w:color w:val="1F2937"/>
          <w:sz w:val="24"/>
          <w:szCs w:val="24"/>
        </w:rPr>
        <w:t xml:space="preserve">Insurance</w:t>
      </w:r>
    </w:p>
    <w:p>
      <w:pPr>
        <w:pStyle w:val="ListParagraph"/>
        <w:numPr>
          <w:ilvl w:val="0"/>
          <w:numId w:val="2"/>
        </w:numPr>
        <w:spacing w:before="40" w:after="40"/>
      </w:pPr>
      <w:r>
        <w:rPr>
          <w:rFonts w:ascii="Arial" w:cs="Arial" w:eastAsia="Arial" w:hAnsi="Arial"/>
          <w:b w:val="false"/>
          <w:bCs w:val="false"/>
          <w:sz w:val="22"/>
          <w:szCs w:val="22"/>
        </w:rPr>
        <w:t xml:space="preserve">Helia (Insurance, Australia): Streamlined invoice generation and approval automation via AWS Bedrock / Anthropic Claude AI IDP; 4x more developers available; 35% time savings; accelerated AI-first strategy.</w:t>
      </w:r>
    </w:p>
    <w:p>
      <w:pPr>
        <w:pStyle w:val="ListParagraph"/>
        <w:numPr>
          <w:ilvl w:val="0"/>
          <w:numId w:val="2"/>
        </w:numPr>
        <w:spacing w:before="40" w:after="40"/>
      </w:pPr>
      <w:r>
        <w:rPr>
          <w:rFonts w:ascii="Arial" w:cs="Arial" w:eastAsia="Arial" w:hAnsi="Arial"/>
          <w:b w:val="false"/>
          <w:bCs w:val="false"/>
          <w:sz w:val="22"/>
          <w:szCs w:val="22"/>
        </w:rPr>
        <w:t xml:space="preserve">IC-Verzekeringen: Used automation to accelerate migration from on-premise to cloud platforms.</w:t>
      </w:r>
    </w:p>
    <w:p>
      <w:pPr>
        <w:spacing w:before="0" w:after="120"/>
      </w:pPr>
    </w:p>
    <w:p>
      <w:pPr>
        <w:pStyle w:val="Heading2"/>
        <w:spacing w:before="300" w:after="100"/>
      </w:pPr>
      <w:r>
        <w:rPr>
          <w:rFonts w:ascii="Arial" w:cs="Arial" w:eastAsia="Arial" w:hAnsi="Arial"/>
          <w:b/>
          <w:bCs/>
          <w:color w:val="007A7A"/>
          <w:sz w:val="28"/>
          <w:szCs w:val="28"/>
        </w:rPr>
        <w:t xml:space="preserve">8D. Reference Customers by Sub-Segment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2"/>
                <w:szCs w:val="22"/>
              </w:rPr>
              <w:t xml:space="preserve">Sub-Segment</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2"/>
                <w:szCs w:val="22"/>
              </w:rPr>
              <w:t xml:space="preserve">Reference Customers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FinTech / Digital-First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Bread Financial, Ramp, Novatti, Paysafe, Affirm, Revolut, Pagaya, Credit Karma, Synchrony, Fundbox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Traditional Banking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Voya Financial, BNY Mellon, Nasdaq, Harris Williams, VIP Mortgage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Wealth &amp; Asset Management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Fidelity, Brookfield Asset Management, Man Group, Edelman Financial, EQT, Avenir Global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Insurance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Helia, IC-Verzekeringen, Northwestern Mutual (logo approved)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Capital Markets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Nasdaq (dual role: markets infrastructure + enterprise AI)</w:t>
            </w:r>
          </w:p>
        </w:tc>
      </w:tr>
    </w:tbl>
    <w:p>
      <w:pPr>
        <w:spacing w:before="0" w:after="120"/>
      </w:pPr>
    </w:p>
    <w:p>
      <w:pPr>
        <w:pBdr>
          <w:bottom w:val="single" w:color="00B4B4" w:sz="6" w:space="1"/>
        </w:pBdr>
        <w:spacing w:before="80" w:after="80"/>
      </w:pPr>
    </w:p>
    <w:p>
      <w:pPr>
        <w:spacing w:before="0" w:after="80"/>
      </w:pPr>
    </w:p>
    <w:p>
      <w:pPr>
        <w:jc w:val="center"/>
      </w:pPr>
      <w:r>
        <w:rPr>
          <w:rFonts w:ascii="Arial" w:cs="Arial" w:eastAsia="Arial" w:hAnsi="Arial"/>
          <w:color w:val="4B5563"/>
          <w:sz w:val="18"/>
          <w:szCs w:val="18"/>
        </w:rPr>
        <w:t xml:space="preserve">Workato  |  Banking &amp; Financial Services Industry Overview  |  FY2026–2027</w:t>
      </w:r>
    </w:p>
    <w:p>
      <w:pPr>
        <w:jc w:val="center"/>
      </w:pPr>
      <w:r>
        <w:rPr>
          <w:rFonts w:ascii="Arial" w:cs="Arial" w:eastAsia="Arial" w:hAnsi="Arial"/>
          <w:b/>
          <w:bCs/>
          <w:color w:val="4B5563"/>
          <w:sz w:val="16"/>
          <w:szCs w:val="16"/>
        </w:rPr>
        <w:t xml:space="preserve">CONFIDENTIAL —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007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2026-02-18T00:38:44.086Z</dcterms:created>
  <dcterms:modified xsi:type="dcterms:W3CDTF">2026-02-18T00:38:44.087Z</dcterms:modified>
</cp:coreProperties>
</file>

<file path=docProps/custom.xml><?xml version="1.0" encoding="utf-8"?>
<Properties xmlns="http://schemas.openxmlformats.org/officeDocument/2006/custom-properties" xmlns:vt="http://schemas.openxmlformats.org/officeDocument/2006/docPropsVTypes"/>
</file>