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720" w:top="720" w:left="1080" w:right="1080" w:header="720" w:footer="720"/>
          <w:pgNumType w:start="1"/>
        </w:sectPr>
      </w:pPr>
      <w:bookmarkStart w:colFirst="0" w:colLast="0" w:name="_h44a6ct8gt6y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Industry Overview ‘Template’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before="0" w:line="240" w:lineRule="auto"/>
        <w:rPr>
          <w:rFonts w:ascii="Poppins" w:cs="Poppins" w:eastAsia="Poppins" w:hAnsi="Poppins"/>
          <w:b w:val="1"/>
          <w:bCs w:val="1"/>
          <w:sz w:val="34"/>
          <w:szCs w:val="34"/>
        </w:rPr>
      </w:pPr>
      <w:bookmarkStart w:colFirst="0" w:colLast="0" w:name="_sna1ha6rkczx" w:id="1"/>
      <w:bookmarkEnd w:id="1"/>
      <w:r w:rsidDel="00000000" w:rsidR="00000000" w:rsidRPr="00000000">
        <w:rPr>
          <w:rFonts w:ascii="Poppins" w:cs="Poppins" w:eastAsia="Poppins" w:hAnsi="Poppins"/>
          <w:b w:val="1"/>
          <w:bCs w:val="1"/>
          <w:sz w:val="34"/>
          <w:szCs w:val="34"/>
          <w:rtl w:val="0"/>
        </w:rPr>
        <w:t xml:space="preserve">Industry Overview ‘Template’</w:t>
      </w:r>
    </w:p>
    <w:p w:rsidR="00000000" w:rsidDel="00000000" w:rsidP="00000000" w:rsidRDefault="00000000" w:rsidRPr="00000000" w14:paraId="0000000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="240" w:lineRule="auto"/>
        <w:rPr>
          <w:rFonts w:ascii="Poppins" w:cs="Poppins" w:eastAsia="Poppins" w:hAnsi="Poppins"/>
          <w:b w:val="1"/>
          <w:bCs w:val="1"/>
          <w:color w:val="000000"/>
          <w:sz w:val="26"/>
          <w:szCs w:val="26"/>
        </w:rPr>
      </w:pPr>
      <w:bookmarkStart w:colFirst="0" w:colLast="0" w:name="_ly9njcucd9zs" w:id="2"/>
      <w:bookmarkEnd w:id="2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6"/>
          <w:szCs w:val="26"/>
          <w:rtl w:val="0"/>
        </w:rPr>
        <w:t xml:space="preserve">Chapter 1: Industry Definition &amp; Summary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0" w:afterAutospacing="0" w:before="240" w:lin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Industry Overview &amp; Scope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Sub-Segments (with market sizing where available)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Key Business Drivers &amp; Priorities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240" w:before="0" w:beforeAutospacing="0" w:lin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Regulatory Environment &amp; Compliance Requirements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="240" w:lineRule="auto"/>
        <w:rPr>
          <w:rFonts w:ascii="Poppins" w:cs="Poppins" w:eastAsia="Poppins" w:hAnsi="Poppins"/>
          <w:b w:val="1"/>
          <w:bCs w:val="1"/>
          <w:color w:val="000000"/>
          <w:sz w:val="26"/>
          <w:szCs w:val="26"/>
        </w:rPr>
      </w:pPr>
      <w:bookmarkStart w:colFirst="0" w:colLast="0" w:name="_nazmo5e46r11" w:id="3"/>
      <w:bookmarkEnd w:id="3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6"/>
          <w:szCs w:val="26"/>
          <w:rtl w:val="0"/>
        </w:rPr>
        <w:t xml:space="preserve">Chapter 2: Current Industry Trends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240" w:lin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Macro-Economic &amp; Market Trends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Technology Adoption Trends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Customer/Consumer Behavior Shifts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Workforce &amp; Operational Trends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Data &amp; Analytics Trends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240" w:before="0" w:beforeAutospacing="0" w:lin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dIndustry-Specific Analyst Data (Gartner, Forrester, etc.)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="240" w:lineRule="auto"/>
        <w:rPr>
          <w:rFonts w:ascii="Poppins" w:cs="Poppins" w:eastAsia="Poppins" w:hAnsi="Poppins"/>
          <w:b w:val="1"/>
          <w:bCs w:val="1"/>
          <w:color w:val="000000"/>
          <w:sz w:val="26"/>
          <w:szCs w:val="26"/>
        </w:rPr>
      </w:pPr>
      <w:bookmarkStart w:colFirst="0" w:colLast="0" w:name="_qwkvo6clldbp" w:id="4"/>
      <w:bookmarkEnd w:id="4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6"/>
          <w:szCs w:val="26"/>
          <w:rtl w:val="0"/>
        </w:rPr>
        <w:t xml:space="preserve">Chapter 3: Current AI/Automation/Orchestration Landscape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240" w:lin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Current State of Automation Adoption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Existing AI Use Cases in Production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Integration &amp; Orchestration Maturity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240" w:before="0" w:beforeAutospacing="0" w:lin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Barriers to Adoption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="240" w:lineRule="auto"/>
        <w:rPr>
          <w:rFonts w:ascii="Poppins" w:cs="Poppins" w:eastAsia="Poppins" w:hAnsi="Poppins"/>
          <w:b w:val="1"/>
          <w:bCs w:val="1"/>
          <w:color w:val="000000"/>
          <w:sz w:val="26"/>
          <w:szCs w:val="26"/>
        </w:rPr>
      </w:pPr>
      <w:bookmarkStart w:colFirst="0" w:colLast="0" w:name="_a8met1olw8q0" w:id="5"/>
      <w:bookmarkEnd w:id="5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6"/>
          <w:szCs w:val="26"/>
          <w:rtl w:val="0"/>
        </w:rPr>
        <w:t xml:space="preserve">Chapter 4: High-Potential AI &amp; Automation Use Cases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240" w:lin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Customer facing  Use Cases (Customer-Facing)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Back-Office Use Cases (Finance, HR, IT)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Industry-Specific Use Cases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240" w:before="0" w:beforeAutospacing="0" w:lin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Workato Solution Mapping (Recipes, Genies, MCP)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="240" w:lineRule="auto"/>
        <w:rPr>
          <w:rFonts w:ascii="Poppins" w:cs="Poppins" w:eastAsia="Poppins" w:hAnsi="Poppins"/>
          <w:b w:val="1"/>
          <w:bCs w:val="1"/>
          <w:color w:val="000000"/>
          <w:sz w:val="26"/>
          <w:szCs w:val="26"/>
        </w:rPr>
      </w:pPr>
      <w:bookmarkStart w:colFirst="0" w:colLast="0" w:name="_tiefo6vmcz0y" w:id="6"/>
      <w:bookmarkEnd w:id="6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6"/>
          <w:szCs w:val="26"/>
          <w:rtl w:val="0"/>
        </w:rPr>
        <w:t xml:space="preserve">Chapter 5: Target Personas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Primary Buyer Personas / Pain Points / Desired value &amp; outcomes (Decision Makers)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240" w:before="0" w:beforeAutospacing="0" w:lin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Secondary Personas  / Pain Points / Desired value &amp; outcomes (Influencers/Users)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="240" w:lineRule="auto"/>
        <w:rPr>
          <w:rFonts w:ascii="Poppins" w:cs="Poppins" w:eastAsia="Poppins" w:hAnsi="Poppins"/>
          <w:b w:val="1"/>
          <w:bCs w:val="1"/>
          <w:color w:val="000000"/>
          <w:sz w:val="26"/>
          <w:szCs w:val="26"/>
        </w:rPr>
      </w:pPr>
      <w:bookmarkStart w:colFirst="0" w:colLast="0" w:name="_e6dn0ko4eda2" w:id="7"/>
      <w:bookmarkEnd w:id="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="240" w:lineRule="auto"/>
        <w:rPr>
          <w:rFonts w:ascii="Poppins" w:cs="Poppins" w:eastAsia="Poppins" w:hAnsi="Poppins"/>
          <w:b w:val="1"/>
          <w:bCs w:val="1"/>
          <w:color w:val="000000"/>
          <w:sz w:val="26"/>
          <w:szCs w:val="26"/>
        </w:rPr>
      </w:pPr>
      <w:bookmarkStart w:colFirst="0" w:colLast="0" w:name="_f50o3on6qumx" w:id="8"/>
      <w:bookmarkEnd w:id="8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6"/>
          <w:szCs w:val="26"/>
          <w:rtl w:val="0"/>
        </w:rPr>
        <w:t xml:space="preserve">Chapter 6: Technology Ecosystem Overview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240" w:lin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Core Systems of Record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Major Software Players &amp; Vendors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Integration Patterns &amp; Requirements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Partner Ecosystem (GSIs, Regional SIs)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40" w:before="0" w:beforeAutospacing="0" w:lin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Workato Connector Coverage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="240" w:lineRule="auto"/>
        <w:rPr>
          <w:rFonts w:ascii="Poppins" w:cs="Poppins" w:eastAsia="Poppins" w:hAnsi="Poppins"/>
          <w:b w:val="1"/>
          <w:bCs w:val="1"/>
          <w:color w:val="000000"/>
          <w:sz w:val="26"/>
          <w:szCs w:val="26"/>
        </w:rPr>
      </w:pPr>
      <w:bookmarkStart w:colFirst="0" w:colLast="0" w:name="_lylucdcct2em" w:id="9"/>
      <w:bookmarkEnd w:id="9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6"/>
          <w:szCs w:val="26"/>
          <w:rtl w:val="0"/>
        </w:rPr>
        <w:t xml:space="preserve">Chapter 7: Competitive Landscape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0" w:afterAutospacing="0" w:before="240" w:lin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Direct Competitors (iPaaS, Automation)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Adjacent Competitors (RPA, Point Solutions)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Competitor Positioning by Segment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Workato Competitive Advantages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240" w:before="0" w:beforeAutospacing="0" w:lin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Competitive Weaknesses &amp; Mitigation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="240" w:lineRule="auto"/>
        <w:rPr>
          <w:rFonts w:ascii="Poppins" w:cs="Poppins" w:eastAsia="Poppins" w:hAnsi="Poppins"/>
          <w:b w:val="1"/>
          <w:bCs w:val="1"/>
          <w:color w:val="000000"/>
          <w:sz w:val="26"/>
          <w:szCs w:val="26"/>
        </w:rPr>
      </w:pPr>
      <w:bookmarkStart w:colFirst="0" w:colLast="0" w:name="_qr1xtm85illm" w:id="10"/>
      <w:bookmarkEnd w:id="10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6"/>
          <w:szCs w:val="26"/>
          <w:rtl w:val="0"/>
        </w:rPr>
        <w:t xml:space="preserve">Chapter 8: Customer Proof &amp; References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240" w:lin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Approved Customer Logos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Case Studies &amp; Success Stories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Customer Quotes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240" w:before="0" w:beforeAutospacing="0" w:lin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Reference Customers by Segment</w:t>
      </w:r>
    </w:p>
    <w:p w:rsidR="00000000" w:rsidDel="00000000" w:rsidP="00000000" w:rsidRDefault="00000000" w:rsidRPr="00000000" w14:paraId="0000002F">
      <w:pPr>
        <w:spacing w:line="240" w:lineRule="auto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720" w:top="720" w:left="1080" w:right="1080" w:header="360" w:footer="14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